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B7A5" w14:textId="2EB11FFF" w:rsidR="00CC2FED" w:rsidRPr="00CC2FED" w:rsidRDefault="00CC2FED" w:rsidP="008C7FDA">
      <w:pPr>
        <w:spacing w:after="0" w:line="240" w:lineRule="auto"/>
        <w:rPr>
          <w:rFonts w:ascii="Calibri" w:hAnsi="Calibri" w:cs="Calibri"/>
        </w:rPr>
      </w:pPr>
    </w:p>
    <w:p w14:paraId="43303C1D" w14:textId="77777777" w:rsidR="00CC2FED" w:rsidRPr="00CC2FED" w:rsidRDefault="00CC2FED" w:rsidP="00CC2FED">
      <w:pPr>
        <w:spacing w:after="0" w:line="240" w:lineRule="auto"/>
        <w:jc w:val="center"/>
        <w:rPr>
          <w:rFonts w:ascii="Calibri" w:hAnsi="Calibri" w:cs="Calibri"/>
        </w:rPr>
      </w:pPr>
    </w:p>
    <w:p w14:paraId="2C7EF216" w14:textId="64A758F7" w:rsidR="00CC2FED" w:rsidRPr="00CC2FED" w:rsidRDefault="00CC2FED" w:rsidP="00CC2FED">
      <w:pPr>
        <w:spacing w:after="0" w:line="240" w:lineRule="auto"/>
        <w:jc w:val="center"/>
        <w:rPr>
          <w:rFonts w:ascii="Calibri" w:hAnsi="Calibri" w:cs="Calibri"/>
        </w:rPr>
      </w:pPr>
      <w:r w:rsidRPr="00CC2FED">
        <w:rPr>
          <w:rFonts w:ascii="Calibri" w:hAnsi="Calibri" w:cs="Calibri"/>
        </w:rPr>
        <w:t>MEMORANDUM OF UNDERSTANDING</w:t>
      </w:r>
    </w:p>
    <w:p w14:paraId="1D1A0FC2" w14:textId="77777777" w:rsidR="00CC2FED" w:rsidRPr="00CC2FED" w:rsidRDefault="00CC2FED" w:rsidP="00CC2FED">
      <w:pPr>
        <w:spacing w:after="0" w:line="240" w:lineRule="auto"/>
        <w:jc w:val="center"/>
        <w:rPr>
          <w:rFonts w:ascii="Calibri" w:hAnsi="Calibri" w:cs="Calibri"/>
        </w:rPr>
      </w:pPr>
    </w:p>
    <w:p w14:paraId="0BDB502F" w14:textId="0037590A" w:rsidR="00CC2FED" w:rsidRPr="00CC2FED" w:rsidRDefault="00CC2FED" w:rsidP="00CC2FED">
      <w:pPr>
        <w:spacing w:after="0" w:line="240" w:lineRule="auto"/>
        <w:jc w:val="center"/>
        <w:rPr>
          <w:rFonts w:ascii="Calibri" w:hAnsi="Calibri" w:cs="Calibri"/>
        </w:rPr>
      </w:pPr>
      <w:r w:rsidRPr="00CC2FED">
        <w:rPr>
          <w:rFonts w:ascii="Calibri" w:hAnsi="Calibri" w:cs="Calibri"/>
        </w:rPr>
        <w:t>Between</w:t>
      </w:r>
    </w:p>
    <w:p w14:paraId="779FD238" w14:textId="21933DBA" w:rsidR="00CC2FED" w:rsidRPr="00CC2FED" w:rsidRDefault="001441E1" w:rsidP="00CC2FED">
      <w:pPr>
        <w:spacing w:after="0" w:line="240" w:lineRule="auto"/>
        <w:jc w:val="center"/>
        <w:rPr>
          <w:rFonts w:ascii="Calibri" w:hAnsi="Calibri" w:cs="Calibri"/>
        </w:rPr>
      </w:pPr>
      <w:r w:rsidRPr="00CC2FED">
        <w:rPr>
          <w:rFonts w:ascii="Calibri" w:hAnsi="Calibri" w:cs="Calibri"/>
        </w:rPr>
        <w:t>Notre Dame of Maryland University</w:t>
      </w:r>
    </w:p>
    <w:p w14:paraId="3579174D" w14:textId="12BD8479" w:rsidR="00CC2FED" w:rsidRDefault="001441E1" w:rsidP="00CC2FED">
      <w:pPr>
        <w:spacing w:after="0" w:line="240" w:lineRule="auto"/>
        <w:jc w:val="center"/>
        <w:rPr>
          <w:rFonts w:ascii="Calibri" w:hAnsi="Calibri" w:cs="Calibri"/>
        </w:rPr>
      </w:pPr>
      <w:r>
        <w:rPr>
          <w:rFonts w:ascii="Calibri" w:hAnsi="Calibri" w:cs="Calibri"/>
        </w:rPr>
        <w:t>a</w:t>
      </w:r>
      <w:r w:rsidR="00CC2FED" w:rsidRPr="00CC2FED">
        <w:rPr>
          <w:rFonts w:ascii="Calibri" w:hAnsi="Calibri" w:cs="Calibri"/>
        </w:rPr>
        <w:t>nd</w:t>
      </w:r>
    </w:p>
    <w:p w14:paraId="022FB94A" w14:textId="77777777" w:rsidR="001441E1" w:rsidRPr="00CC2FED" w:rsidRDefault="001441E1" w:rsidP="001441E1">
      <w:pPr>
        <w:spacing w:after="0" w:line="240" w:lineRule="auto"/>
        <w:jc w:val="center"/>
        <w:rPr>
          <w:rFonts w:ascii="Calibri" w:hAnsi="Calibri" w:cs="Calibri"/>
        </w:rPr>
      </w:pPr>
      <w:r w:rsidRPr="00CC2FED">
        <w:rPr>
          <w:rFonts w:ascii="Calibri" w:hAnsi="Calibri" w:cs="Calibri"/>
        </w:rPr>
        <w:t>Mount Mary University</w:t>
      </w:r>
    </w:p>
    <w:p w14:paraId="311DA293" w14:textId="77777777" w:rsidR="001441E1" w:rsidRPr="00CC2FED" w:rsidRDefault="001441E1" w:rsidP="001441E1">
      <w:pPr>
        <w:spacing w:after="0" w:line="240" w:lineRule="auto"/>
        <w:rPr>
          <w:rFonts w:ascii="Calibri" w:hAnsi="Calibri" w:cs="Calibri"/>
        </w:rPr>
      </w:pPr>
    </w:p>
    <w:p w14:paraId="017FA62A" w14:textId="76F030C2" w:rsidR="00CC2FED" w:rsidRPr="00CC2FED" w:rsidRDefault="00CC2FED" w:rsidP="00CC2FED">
      <w:pPr>
        <w:spacing w:after="0" w:line="240" w:lineRule="auto"/>
        <w:jc w:val="center"/>
        <w:rPr>
          <w:rFonts w:ascii="Calibri" w:hAnsi="Calibri" w:cs="Calibri"/>
        </w:rPr>
      </w:pPr>
    </w:p>
    <w:p w14:paraId="19164DC9" w14:textId="77777777" w:rsidR="00CC2FED" w:rsidRPr="00CC2FED" w:rsidRDefault="00CC2FED" w:rsidP="00CC2FED">
      <w:pPr>
        <w:spacing w:after="0" w:line="240" w:lineRule="auto"/>
        <w:jc w:val="center"/>
        <w:rPr>
          <w:rFonts w:ascii="Calibri" w:hAnsi="Calibri" w:cs="Calibri"/>
        </w:rPr>
      </w:pPr>
    </w:p>
    <w:p w14:paraId="07B2D82A" w14:textId="048774B3" w:rsidR="00CC2FED" w:rsidRPr="00CC2FED" w:rsidRDefault="00CC2FED" w:rsidP="00CC2FED">
      <w:pPr>
        <w:spacing w:after="0" w:line="240" w:lineRule="auto"/>
        <w:jc w:val="center"/>
        <w:rPr>
          <w:rFonts w:ascii="Calibri" w:hAnsi="Calibri" w:cs="Calibri"/>
        </w:rPr>
      </w:pPr>
      <w:r w:rsidRPr="00CC2FED">
        <w:rPr>
          <w:rFonts w:ascii="Calibri" w:hAnsi="Calibri" w:cs="Calibri"/>
        </w:rPr>
        <w:t xml:space="preserve">Effective Dates: </w:t>
      </w:r>
      <w:r w:rsidR="008C7FDA">
        <w:rPr>
          <w:rFonts w:ascii="Calibri" w:hAnsi="Calibri" w:cs="Calibri"/>
        </w:rPr>
        <w:t>July 1</w:t>
      </w:r>
      <w:r w:rsidRPr="00CC2FED">
        <w:rPr>
          <w:rFonts w:ascii="Calibri" w:hAnsi="Calibri" w:cs="Calibri"/>
        </w:rPr>
        <w:t xml:space="preserve"> – </w:t>
      </w:r>
      <w:r w:rsidR="008C7FDA">
        <w:rPr>
          <w:rFonts w:ascii="Calibri" w:hAnsi="Calibri" w:cs="Calibri"/>
        </w:rPr>
        <w:t>June 30,2030</w:t>
      </w:r>
    </w:p>
    <w:p w14:paraId="731B6E74" w14:textId="77777777" w:rsidR="00CC2FED" w:rsidRPr="00CC2FED" w:rsidRDefault="00CC2FED" w:rsidP="00CC2FED">
      <w:pPr>
        <w:spacing w:after="0" w:line="240" w:lineRule="auto"/>
        <w:rPr>
          <w:rFonts w:ascii="Calibri" w:hAnsi="Calibri" w:cs="Calibri"/>
        </w:rPr>
      </w:pPr>
    </w:p>
    <w:p w14:paraId="0AFE3EE1" w14:textId="78A684E1"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Introduction  </w:t>
      </w:r>
    </w:p>
    <w:p w14:paraId="1FCE2B6D" w14:textId="7029ECEC" w:rsidR="00CC2FED" w:rsidRPr="00CC2FED" w:rsidRDefault="00CC2FED" w:rsidP="00CC2FED">
      <w:pPr>
        <w:spacing w:after="0" w:line="240" w:lineRule="auto"/>
        <w:rPr>
          <w:rFonts w:ascii="Calibri" w:hAnsi="Calibri" w:cs="Calibri"/>
        </w:rPr>
      </w:pPr>
      <w:r w:rsidRPr="00CC2FED">
        <w:rPr>
          <w:rFonts w:ascii="Calibri" w:hAnsi="Calibri" w:cs="Calibri"/>
        </w:rPr>
        <w:t>This Memorandum of Understanding (MOU) establishes a partnership between Mount Mary</w:t>
      </w:r>
      <w:r>
        <w:rPr>
          <w:rFonts w:ascii="Calibri" w:hAnsi="Calibri" w:cs="Calibri"/>
        </w:rPr>
        <w:t xml:space="preserve"> </w:t>
      </w:r>
      <w:r w:rsidRPr="00CC2FED">
        <w:rPr>
          <w:rFonts w:ascii="Calibri" w:hAnsi="Calibri" w:cs="Calibri"/>
        </w:rPr>
        <w:t xml:space="preserve">University (MMU) and Notre Dame of Maryland University (NDMU). This agreement facilitates seamless academic pathways for </w:t>
      </w:r>
      <w:r w:rsidR="00336269">
        <w:rPr>
          <w:rFonts w:ascii="Calibri" w:hAnsi="Calibri" w:cs="Calibri"/>
        </w:rPr>
        <w:t>NDMU</w:t>
      </w:r>
      <w:r w:rsidRPr="00CC2FED">
        <w:rPr>
          <w:rFonts w:ascii="Calibri" w:hAnsi="Calibri" w:cs="Calibri"/>
        </w:rPr>
        <w:t xml:space="preserve"> </w:t>
      </w:r>
      <w:r w:rsidR="00336269">
        <w:rPr>
          <w:rFonts w:ascii="Calibri" w:hAnsi="Calibri" w:cs="Calibri"/>
        </w:rPr>
        <w:t>undergraduate</w:t>
      </w:r>
      <w:r w:rsidRPr="00CC2FED">
        <w:rPr>
          <w:rFonts w:ascii="Calibri" w:hAnsi="Calibri" w:cs="Calibri"/>
        </w:rPr>
        <w:t xml:space="preserve"> students to pursue and complete </w:t>
      </w:r>
      <w:r w:rsidR="00336269">
        <w:rPr>
          <w:rFonts w:ascii="Calibri" w:hAnsi="Calibri" w:cs="Calibri"/>
        </w:rPr>
        <w:t>master’s</w:t>
      </w:r>
      <w:r w:rsidRPr="00CC2FED">
        <w:rPr>
          <w:rFonts w:ascii="Calibri" w:hAnsi="Calibri" w:cs="Calibri"/>
        </w:rPr>
        <w:t xml:space="preserve"> programs at </w:t>
      </w:r>
      <w:r w:rsidR="00336269">
        <w:rPr>
          <w:rFonts w:ascii="Calibri" w:hAnsi="Calibri" w:cs="Calibri"/>
        </w:rPr>
        <w:t>MMU</w:t>
      </w:r>
      <w:r w:rsidRPr="00CC2FED">
        <w:rPr>
          <w:rFonts w:ascii="Calibri" w:hAnsi="Calibri" w:cs="Calibri"/>
        </w:rPr>
        <w:t>, offering fully online options and credit transfer opportunities. This MOU is subject to the policies of the respective Boards of Trustees of both institutions and compliance with applicable state and federal laws.</w:t>
      </w:r>
    </w:p>
    <w:p w14:paraId="4364C3A6" w14:textId="77777777" w:rsidR="00CC2FED" w:rsidRPr="00CC2FED" w:rsidRDefault="00CC2FED" w:rsidP="00CC2FED">
      <w:pPr>
        <w:spacing w:after="0" w:line="240" w:lineRule="auto"/>
        <w:rPr>
          <w:rFonts w:ascii="Calibri" w:hAnsi="Calibri" w:cs="Calibri"/>
        </w:rPr>
      </w:pPr>
    </w:p>
    <w:p w14:paraId="0BB282FC" w14:textId="2B0199A7"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Rationale  </w:t>
      </w:r>
    </w:p>
    <w:p w14:paraId="0036C301" w14:textId="77562706" w:rsidR="00CC2FED" w:rsidRPr="00CC2FED" w:rsidRDefault="00CC2FED" w:rsidP="00CC2FED">
      <w:pPr>
        <w:spacing w:after="0" w:line="240" w:lineRule="auto"/>
        <w:rPr>
          <w:rFonts w:ascii="Calibri" w:hAnsi="Calibri" w:cs="Calibri"/>
        </w:rPr>
      </w:pPr>
      <w:r w:rsidRPr="00CC2FED">
        <w:rPr>
          <w:rFonts w:ascii="Calibri" w:hAnsi="Calibri" w:cs="Calibri"/>
        </w:rPr>
        <w:t xml:space="preserve">Recognizing the need for accessible, advanced educational opportunities, this partnership aims to support students in their pursuit of </w:t>
      </w:r>
      <w:r w:rsidR="00336269">
        <w:rPr>
          <w:rFonts w:ascii="Calibri" w:hAnsi="Calibri" w:cs="Calibri"/>
        </w:rPr>
        <w:t>master’s</w:t>
      </w:r>
      <w:r w:rsidRPr="00CC2FED">
        <w:rPr>
          <w:rFonts w:ascii="Calibri" w:hAnsi="Calibri" w:cs="Calibri"/>
        </w:rPr>
        <w:t xml:space="preserve"> education. </w:t>
      </w:r>
      <w:r w:rsidR="00336269">
        <w:rPr>
          <w:rFonts w:ascii="Calibri" w:hAnsi="Calibri" w:cs="Calibri"/>
        </w:rPr>
        <w:t>MMU</w:t>
      </w:r>
      <w:r w:rsidRPr="00CC2FED">
        <w:rPr>
          <w:rFonts w:ascii="Calibri" w:hAnsi="Calibri" w:cs="Calibri"/>
        </w:rPr>
        <w:t xml:space="preserve"> agrees to offer</w:t>
      </w:r>
      <w:r w:rsidR="00336269">
        <w:rPr>
          <w:rFonts w:ascii="Calibri" w:hAnsi="Calibri" w:cs="Calibri"/>
        </w:rPr>
        <w:t xml:space="preserve"> </w:t>
      </w:r>
      <w:r w:rsidRPr="00CC2FED">
        <w:rPr>
          <w:rFonts w:ascii="Calibri" w:hAnsi="Calibri" w:cs="Calibri"/>
        </w:rPr>
        <w:t xml:space="preserve">fully online </w:t>
      </w:r>
      <w:r w:rsidR="00336269">
        <w:rPr>
          <w:rFonts w:ascii="Calibri" w:hAnsi="Calibri" w:cs="Calibri"/>
        </w:rPr>
        <w:t xml:space="preserve">master’s </w:t>
      </w:r>
      <w:r w:rsidRPr="00CC2FED">
        <w:rPr>
          <w:rFonts w:ascii="Calibri" w:hAnsi="Calibri" w:cs="Calibri"/>
        </w:rPr>
        <w:t xml:space="preserve">programs tailored to accommodate </w:t>
      </w:r>
      <w:r w:rsidR="00336269">
        <w:rPr>
          <w:rFonts w:ascii="Calibri" w:hAnsi="Calibri" w:cs="Calibri"/>
        </w:rPr>
        <w:t>Notre Dame of Maryland undergraduate</w:t>
      </w:r>
      <w:r w:rsidRPr="00CC2FED">
        <w:rPr>
          <w:rFonts w:ascii="Calibri" w:hAnsi="Calibri" w:cs="Calibri"/>
        </w:rPr>
        <w:t xml:space="preserve"> students, allowing the transfer of up to </w:t>
      </w:r>
      <w:r w:rsidRPr="001338D2">
        <w:rPr>
          <w:rFonts w:ascii="Calibri" w:hAnsi="Calibri" w:cs="Calibri"/>
        </w:rPr>
        <w:t>12 credits from</w:t>
      </w:r>
      <w:r w:rsidR="00336269" w:rsidRPr="001338D2">
        <w:rPr>
          <w:rFonts w:ascii="Calibri" w:hAnsi="Calibri" w:cs="Calibri"/>
        </w:rPr>
        <w:t xml:space="preserve"> NDMU</w:t>
      </w:r>
      <w:r w:rsidRPr="001338D2">
        <w:rPr>
          <w:rFonts w:ascii="Calibri" w:hAnsi="Calibri" w:cs="Calibri"/>
        </w:rPr>
        <w:t xml:space="preserve"> </w:t>
      </w:r>
      <w:r w:rsidR="00336269" w:rsidRPr="001338D2">
        <w:rPr>
          <w:rFonts w:ascii="Calibri" w:hAnsi="Calibri" w:cs="Calibri"/>
        </w:rPr>
        <w:t>undergraduate</w:t>
      </w:r>
      <w:r w:rsidRPr="001338D2">
        <w:rPr>
          <w:rFonts w:ascii="Calibri" w:hAnsi="Calibri" w:cs="Calibri"/>
        </w:rPr>
        <w:t xml:space="preserve"> programs</w:t>
      </w:r>
      <w:r w:rsidRPr="00CC2FED">
        <w:rPr>
          <w:rFonts w:ascii="Calibri" w:hAnsi="Calibri" w:cs="Calibri"/>
        </w:rPr>
        <w:t xml:space="preserve"> into </w:t>
      </w:r>
      <w:r>
        <w:rPr>
          <w:rFonts w:ascii="Calibri" w:hAnsi="Calibri" w:cs="Calibri"/>
        </w:rPr>
        <w:t>the r</w:t>
      </w:r>
      <w:r w:rsidRPr="00CC2FED">
        <w:rPr>
          <w:rFonts w:ascii="Calibri" w:hAnsi="Calibri" w:cs="Calibri"/>
        </w:rPr>
        <w:t xml:space="preserve">elevant </w:t>
      </w:r>
      <w:r w:rsidR="00336269">
        <w:rPr>
          <w:rFonts w:ascii="Calibri" w:hAnsi="Calibri" w:cs="Calibri"/>
        </w:rPr>
        <w:t>MMU</w:t>
      </w:r>
      <w:r>
        <w:rPr>
          <w:rFonts w:ascii="Calibri" w:hAnsi="Calibri" w:cs="Calibri"/>
        </w:rPr>
        <w:t xml:space="preserve"> </w:t>
      </w:r>
      <w:r w:rsidR="00336269">
        <w:rPr>
          <w:rFonts w:ascii="Calibri" w:hAnsi="Calibri" w:cs="Calibri"/>
        </w:rPr>
        <w:t xml:space="preserve">master’s </w:t>
      </w:r>
      <w:r w:rsidRPr="00CC2FED">
        <w:rPr>
          <w:rFonts w:ascii="Calibri" w:hAnsi="Calibri" w:cs="Calibri"/>
        </w:rPr>
        <w:t>program</w:t>
      </w:r>
      <w:r>
        <w:rPr>
          <w:rFonts w:ascii="Calibri" w:hAnsi="Calibri" w:cs="Calibri"/>
        </w:rPr>
        <w:t>.</w:t>
      </w:r>
      <w:r w:rsidRPr="00CC2FED">
        <w:rPr>
          <w:rFonts w:ascii="Calibri" w:hAnsi="Calibri" w:cs="Calibri"/>
        </w:rPr>
        <w:t xml:space="preserve"> This initiative streamlines the transition to </w:t>
      </w:r>
      <w:r w:rsidR="001B38CB">
        <w:rPr>
          <w:rFonts w:ascii="Calibri" w:hAnsi="Calibri" w:cs="Calibri"/>
        </w:rPr>
        <w:t>graduate</w:t>
      </w:r>
      <w:r w:rsidRPr="00CC2FED">
        <w:rPr>
          <w:rFonts w:ascii="Calibri" w:hAnsi="Calibri" w:cs="Calibri"/>
        </w:rPr>
        <w:t xml:space="preserve"> studies, promotes academic excellence, and supports workforce development in specialized fields.</w:t>
      </w:r>
    </w:p>
    <w:p w14:paraId="4FE3B03D" w14:textId="77777777" w:rsidR="00CC2FED" w:rsidRPr="00CC2FED" w:rsidRDefault="00CC2FED" w:rsidP="00CC2FED">
      <w:pPr>
        <w:spacing w:after="0" w:line="240" w:lineRule="auto"/>
        <w:rPr>
          <w:rFonts w:ascii="Calibri" w:hAnsi="Calibri" w:cs="Calibri"/>
        </w:rPr>
      </w:pPr>
    </w:p>
    <w:p w14:paraId="5A5EDFF1" w14:textId="0A2E72AB" w:rsidR="00CC2FED" w:rsidRPr="00CC2FED" w:rsidRDefault="00CC2FED" w:rsidP="00CC2FED">
      <w:pPr>
        <w:spacing w:after="0" w:line="240" w:lineRule="auto"/>
        <w:rPr>
          <w:rFonts w:ascii="Calibri" w:hAnsi="Calibri" w:cs="Calibri"/>
          <w:b/>
          <w:bCs/>
        </w:rPr>
      </w:pPr>
      <w:r w:rsidRPr="00CC2FED">
        <w:rPr>
          <w:rFonts w:ascii="Calibri" w:hAnsi="Calibri" w:cs="Calibri"/>
          <w:b/>
          <w:bCs/>
        </w:rPr>
        <w:t>Responsibilities</w:t>
      </w:r>
    </w:p>
    <w:p w14:paraId="04C20D6D" w14:textId="448C1F13" w:rsidR="00CC2FED" w:rsidRPr="00CC2FED" w:rsidRDefault="00F6582F" w:rsidP="00CC2FED">
      <w:pPr>
        <w:spacing w:after="0" w:line="240" w:lineRule="auto"/>
        <w:rPr>
          <w:rFonts w:ascii="Calibri" w:hAnsi="Calibri" w:cs="Calibri"/>
        </w:rPr>
      </w:pPr>
      <w:r>
        <w:rPr>
          <w:rFonts w:ascii="Calibri" w:hAnsi="Calibri" w:cs="Calibri"/>
        </w:rPr>
        <w:t>Notre Dame of Maryland University</w:t>
      </w:r>
      <w:r w:rsidR="00CC2FED" w:rsidRPr="00CC2FED">
        <w:rPr>
          <w:rFonts w:ascii="Calibri" w:hAnsi="Calibri" w:cs="Calibri"/>
        </w:rPr>
        <w:t xml:space="preserve"> </w:t>
      </w:r>
      <w:r w:rsidR="00CC2FED">
        <w:rPr>
          <w:rFonts w:ascii="Calibri" w:hAnsi="Calibri" w:cs="Calibri"/>
        </w:rPr>
        <w:t>will, under the terms of this agreement:</w:t>
      </w:r>
    </w:p>
    <w:p w14:paraId="2389BF27" w14:textId="7930D165" w:rsidR="00CC2FED" w:rsidRPr="00CC2FED" w:rsidRDefault="00CC2FED" w:rsidP="00CC2FED">
      <w:pPr>
        <w:pStyle w:val="ListParagraph"/>
        <w:numPr>
          <w:ilvl w:val="0"/>
          <w:numId w:val="6"/>
        </w:numPr>
        <w:spacing w:after="0" w:line="240" w:lineRule="auto"/>
        <w:rPr>
          <w:rFonts w:ascii="Calibri" w:hAnsi="Calibri" w:cs="Calibri"/>
        </w:rPr>
      </w:pPr>
      <w:r w:rsidRPr="00CC2FED">
        <w:rPr>
          <w:rFonts w:ascii="Calibri" w:hAnsi="Calibri" w:cs="Calibri"/>
        </w:rPr>
        <w:t xml:space="preserve">Prepare Students for </w:t>
      </w:r>
      <w:r w:rsidR="00A03020">
        <w:rPr>
          <w:rFonts w:ascii="Calibri" w:hAnsi="Calibri" w:cs="Calibri"/>
        </w:rPr>
        <w:t>m</w:t>
      </w:r>
      <w:r w:rsidR="00F6582F">
        <w:rPr>
          <w:rFonts w:ascii="Calibri" w:hAnsi="Calibri" w:cs="Calibri"/>
        </w:rPr>
        <w:t>aster’s</w:t>
      </w:r>
      <w:r w:rsidRPr="00CC2FED">
        <w:rPr>
          <w:rFonts w:ascii="Calibri" w:hAnsi="Calibri" w:cs="Calibri"/>
        </w:rPr>
        <w:t xml:space="preserve"> Study</w:t>
      </w:r>
    </w:p>
    <w:p w14:paraId="7677099D" w14:textId="0A4C02F7" w:rsidR="00CC2FED" w:rsidRPr="00CC2FED" w:rsidRDefault="00CC2FED" w:rsidP="00CC2FED">
      <w:pPr>
        <w:pStyle w:val="ListParagraph"/>
        <w:numPr>
          <w:ilvl w:val="0"/>
          <w:numId w:val="6"/>
        </w:numPr>
        <w:spacing w:after="0" w:line="240" w:lineRule="auto"/>
        <w:rPr>
          <w:rFonts w:ascii="Calibri" w:hAnsi="Calibri" w:cs="Calibri"/>
        </w:rPr>
      </w:pPr>
      <w:r w:rsidRPr="00CC2FED">
        <w:rPr>
          <w:rFonts w:ascii="Calibri" w:hAnsi="Calibri" w:cs="Calibri"/>
        </w:rPr>
        <w:t xml:space="preserve">Ensure </w:t>
      </w:r>
      <w:r w:rsidR="00F6582F">
        <w:rPr>
          <w:rFonts w:ascii="Calibri" w:hAnsi="Calibri" w:cs="Calibri"/>
        </w:rPr>
        <w:t>NDMU</w:t>
      </w:r>
      <w:r w:rsidRPr="00CC2FED">
        <w:rPr>
          <w:rFonts w:ascii="Calibri" w:hAnsi="Calibri" w:cs="Calibri"/>
        </w:rPr>
        <w:t xml:space="preserve"> </w:t>
      </w:r>
      <w:r w:rsidR="00F6582F">
        <w:rPr>
          <w:rFonts w:ascii="Calibri" w:hAnsi="Calibri" w:cs="Calibri"/>
        </w:rPr>
        <w:t>undergraduate</w:t>
      </w:r>
      <w:r w:rsidRPr="00CC2FED">
        <w:rPr>
          <w:rFonts w:ascii="Calibri" w:hAnsi="Calibri" w:cs="Calibri"/>
        </w:rPr>
        <w:t xml:space="preserve"> students complete relevant coursework to facilitate credit transfer into </w:t>
      </w:r>
      <w:r w:rsidR="00F6582F">
        <w:rPr>
          <w:rFonts w:ascii="Calibri" w:hAnsi="Calibri" w:cs="Calibri"/>
        </w:rPr>
        <w:t>M</w:t>
      </w:r>
      <w:r w:rsidRPr="00CC2FED">
        <w:rPr>
          <w:rFonts w:ascii="Calibri" w:hAnsi="Calibri" w:cs="Calibri"/>
        </w:rPr>
        <w:t xml:space="preserve">MU’s </w:t>
      </w:r>
      <w:r w:rsidR="00F6582F">
        <w:rPr>
          <w:rFonts w:ascii="Calibri" w:hAnsi="Calibri" w:cs="Calibri"/>
        </w:rPr>
        <w:t>master’s</w:t>
      </w:r>
      <w:r w:rsidRPr="00CC2FED">
        <w:rPr>
          <w:rFonts w:ascii="Calibri" w:hAnsi="Calibri" w:cs="Calibri"/>
        </w:rPr>
        <w:t xml:space="preserve"> programs.  </w:t>
      </w:r>
    </w:p>
    <w:p w14:paraId="0085A611" w14:textId="5CAD371A" w:rsidR="00CC2FED" w:rsidRPr="00CC2FED" w:rsidRDefault="00CC2FED" w:rsidP="00CC2FED">
      <w:pPr>
        <w:pStyle w:val="ListParagraph"/>
        <w:numPr>
          <w:ilvl w:val="0"/>
          <w:numId w:val="6"/>
        </w:numPr>
        <w:spacing w:after="0" w:line="240" w:lineRule="auto"/>
        <w:rPr>
          <w:rFonts w:ascii="Calibri" w:hAnsi="Calibri" w:cs="Calibri"/>
        </w:rPr>
      </w:pPr>
      <w:r w:rsidRPr="00CC2FED">
        <w:rPr>
          <w:rFonts w:ascii="Calibri" w:hAnsi="Calibri" w:cs="Calibri"/>
        </w:rPr>
        <w:t xml:space="preserve">Collaborate with </w:t>
      </w:r>
      <w:r w:rsidR="00F6582F">
        <w:rPr>
          <w:rFonts w:ascii="Calibri" w:hAnsi="Calibri" w:cs="Calibri"/>
        </w:rPr>
        <w:t>MMU</w:t>
      </w:r>
      <w:r w:rsidRPr="00CC2FED">
        <w:rPr>
          <w:rFonts w:ascii="Calibri" w:hAnsi="Calibri" w:cs="Calibri"/>
        </w:rPr>
        <w:t xml:space="preserve"> to develop marketing materials and communication strategies to inform students about the partnership.  </w:t>
      </w:r>
    </w:p>
    <w:p w14:paraId="22C0633F" w14:textId="7FFD03B8" w:rsidR="00CC2FED" w:rsidRPr="00CC2FED" w:rsidRDefault="00CC2FED" w:rsidP="00CC2FED">
      <w:pPr>
        <w:pStyle w:val="ListParagraph"/>
        <w:numPr>
          <w:ilvl w:val="0"/>
          <w:numId w:val="6"/>
        </w:numPr>
        <w:spacing w:after="0" w:line="240" w:lineRule="auto"/>
        <w:rPr>
          <w:rFonts w:ascii="Calibri" w:hAnsi="Calibri" w:cs="Calibri"/>
        </w:rPr>
      </w:pPr>
      <w:r w:rsidRPr="00CC2FED">
        <w:rPr>
          <w:rFonts w:ascii="Calibri" w:hAnsi="Calibri" w:cs="Calibri"/>
        </w:rPr>
        <w:t xml:space="preserve">Notify </w:t>
      </w:r>
      <w:r w:rsidR="00F6582F">
        <w:rPr>
          <w:rFonts w:ascii="Calibri" w:hAnsi="Calibri" w:cs="Calibri"/>
        </w:rPr>
        <w:t>MMU</w:t>
      </w:r>
      <w:r w:rsidRPr="00CC2FED">
        <w:rPr>
          <w:rFonts w:ascii="Calibri" w:hAnsi="Calibri" w:cs="Calibri"/>
        </w:rPr>
        <w:t xml:space="preserve"> of any substantial changes to the </w:t>
      </w:r>
      <w:r w:rsidR="00F6582F">
        <w:rPr>
          <w:rFonts w:ascii="Calibri" w:hAnsi="Calibri" w:cs="Calibri"/>
        </w:rPr>
        <w:t>undergraduate</w:t>
      </w:r>
      <w:r w:rsidRPr="00CC2FED">
        <w:rPr>
          <w:rFonts w:ascii="Calibri" w:hAnsi="Calibri" w:cs="Calibri"/>
        </w:rPr>
        <w:t xml:space="preserve"> curriculum impacting credit transfer eligibility.  </w:t>
      </w:r>
    </w:p>
    <w:p w14:paraId="49AC3194" w14:textId="77777777" w:rsidR="00CC2FED" w:rsidRPr="00CC2FED" w:rsidRDefault="00CC2FED" w:rsidP="00CC2FED">
      <w:pPr>
        <w:spacing w:after="0" w:line="240" w:lineRule="auto"/>
        <w:rPr>
          <w:rFonts w:ascii="Calibri" w:hAnsi="Calibri" w:cs="Calibri"/>
        </w:rPr>
      </w:pPr>
    </w:p>
    <w:p w14:paraId="6DF6DA1C" w14:textId="25643B9F" w:rsidR="00CC2FED" w:rsidRPr="00CC2FED" w:rsidRDefault="00F6582F" w:rsidP="00CC2FED">
      <w:pPr>
        <w:spacing w:after="0" w:line="240" w:lineRule="auto"/>
        <w:rPr>
          <w:rFonts w:ascii="Calibri" w:hAnsi="Calibri" w:cs="Calibri"/>
        </w:rPr>
      </w:pPr>
      <w:r>
        <w:rPr>
          <w:rFonts w:ascii="Calibri" w:hAnsi="Calibri" w:cs="Calibri"/>
        </w:rPr>
        <w:t>Mount Mary University</w:t>
      </w:r>
      <w:r w:rsidR="00CC2FED" w:rsidRPr="00CC2FED">
        <w:rPr>
          <w:rFonts w:ascii="Calibri" w:hAnsi="Calibri" w:cs="Calibri"/>
        </w:rPr>
        <w:t xml:space="preserve"> </w:t>
      </w:r>
      <w:r w:rsidR="00CC2FED">
        <w:rPr>
          <w:rFonts w:ascii="Calibri" w:hAnsi="Calibri" w:cs="Calibri"/>
        </w:rPr>
        <w:t>will, under the terms of this agreement:</w:t>
      </w:r>
    </w:p>
    <w:p w14:paraId="321A5683" w14:textId="4381B0FA" w:rsidR="00CC2FED" w:rsidRPr="00CC2FED" w:rsidRDefault="00CC2FED" w:rsidP="00CC2FED">
      <w:pPr>
        <w:pStyle w:val="ListParagraph"/>
        <w:numPr>
          <w:ilvl w:val="0"/>
          <w:numId w:val="7"/>
        </w:numPr>
        <w:spacing w:after="0" w:line="240" w:lineRule="auto"/>
        <w:rPr>
          <w:rFonts w:ascii="Calibri" w:hAnsi="Calibri" w:cs="Calibri"/>
        </w:rPr>
      </w:pPr>
      <w:r w:rsidRPr="00CC2FED">
        <w:rPr>
          <w:rFonts w:ascii="Calibri" w:hAnsi="Calibri" w:cs="Calibri"/>
        </w:rPr>
        <w:t xml:space="preserve">Provide </w:t>
      </w:r>
      <w:r w:rsidR="00A03020">
        <w:rPr>
          <w:rFonts w:ascii="Calibri" w:hAnsi="Calibri" w:cs="Calibri"/>
        </w:rPr>
        <w:t>master’s</w:t>
      </w:r>
      <w:r w:rsidRPr="00CC2FED">
        <w:rPr>
          <w:rFonts w:ascii="Calibri" w:hAnsi="Calibri" w:cs="Calibri"/>
        </w:rPr>
        <w:t xml:space="preserve"> Program Accessibility  </w:t>
      </w:r>
    </w:p>
    <w:p w14:paraId="3775C079" w14:textId="05E4EFFD" w:rsidR="00CC2FED" w:rsidRPr="00CC2FED" w:rsidRDefault="00CC2FED" w:rsidP="00CC2FED">
      <w:pPr>
        <w:pStyle w:val="ListParagraph"/>
        <w:numPr>
          <w:ilvl w:val="0"/>
          <w:numId w:val="7"/>
        </w:numPr>
        <w:spacing w:after="0" w:line="240" w:lineRule="auto"/>
        <w:rPr>
          <w:rFonts w:ascii="Calibri" w:hAnsi="Calibri" w:cs="Calibri"/>
        </w:rPr>
      </w:pPr>
      <w:r w:rsidRPr="00CC2FED">
        <w:rPr>
          <w:rFonts w:ascii="Calibri" w:hAnsi="Calibri" w:cs="Calibri"/>
        </w:rPr>
        <w:t xml:space="preserve">Offer fully online </w:t>
      </w:r>
      <w:r w:rsidR="00A03020">
        <w:rPr>
          <w:rFonts w:ascii="Calibri" w:hAnsi="Calibri" w:cs="Calibri"/>
        </w:rPr>
        <w:t>master’s</w:t>
      </w:r>
      <w:r w:rsidRPr="00CC2FED">
        <w:rPr>
          <w:rFonts w:ascii="Calibri" w:hAnsi="Calibri" w:cs="Calibri"/>
        </w:rPr>
        <w:t xml:space="preserve"> programs to ensure accessibility for </w:t>
      </w:r>
      <w:r w:rsidR="00F6582F">
        <w:rPr>
          <w:rFonts w:ascii="Calibri" w:hAnsi="Calibri" w:cs="Calibri"/>
        </w:rPr>
        <w:t>NDMU</w:t>
      </w:r>
      <w:r w:rsidRPr="00CC2FED">
        <w:rPr>
          <w:rFonts w:ascii="Calibri" w:hAnsi="Calibri" w:cs="Calibri"/>
        </w:rPr>
        <w:t xml:space="preserve"> students.  </w:t>
      </w:r>
    </w:p>
    <w:p w14:paraId="48163BF7" w14:textId="36867DCA" w:rsidR="00CC2FED" w:rsidRPr="00CC2FED" w:rsidRDefault="00CC2FED" w:rsidP="00CC2FED">
      <w:pPr>
        <w:pStyle w:val="ListParagraph"/>
        <w:numPr>
          <w:ilvl w:val="0"/>
          <w:numId w:val="7"/>
        </w:numPr>
        <w:spacing w:after="0" w:line="240" w:lineRule="auto"/>
        <w:rPr>
          <w:rFonts w:ascii="Calibri" w:hAnsi="Calibri" w:cs="Calibri"/>
        </w:rPr>
      </w:pPr>
      <w:r w:rsidRPr="001338D2">
        <w:rPr>
          <w:rFonts w:ascii="Calibri" w:hAnsi="Calibri" w:cs="Calibri"/>
        </w:rPr>
        <w:lastRenderedPageBreak/>
        <w:t>Accept up to 12 credits</w:t>
      </w:r>
      <w:r w:rsidRPr="00CC2FED">
        <w:rPr>
          <w:rFonts w:ascii="Calibri" w:hAnsi="Calibri" w:cs="Calibri"/>
        </w:rPr>
        <w:t xml:space="preserve"> from </w:t>
      </w:r>
      <w:r w:rsidR="00F6582F">
        <w:rPr>
          <w:rFonts w:ascii="Calibri" w:hAnsi="Calibri" w:cs="Calibri"/>
        </w:rPr>
        <w:t>NDMU</w:t>
      </w:r>
      <w:r w:rsidRPr="00CC2FED">
        <w:rPr>
          <w:rFonts w:ascii="Calibri" w:hAnsi="Calibri" w:cs="Calibri"/>
        </w:rPr>
        <w:t xml:space="preserve"> </w:t>
      </w:r>
      <w:r w:rsidR="00F6582F">
        <w:rPr>
          <w:rFonts w:ascii="Calibri" w:hAnsi="Calibri" w:cs="Calibri"/>
        </w:rPr>
        <w:t>undergraduate</w:t>
      </w:r>
      <w:r w:rsidRPr="00CC2FED">
        <w:rPr>
          <w:rFonts w:ascii="Calibri" w:hAnsi="Calibri" w:cs="Calibri"/>
        </w:rPr>
        <w:t xml:space="preserve"> programs toward the fulfillment of </w:t>
      </w:r>
      <w:r w:rsidR="00F6582F">
        <w:rPr>
          <w:rFonts w:ascii="Calibri" w:hAnsi="Calibri" w:cs="Calibri"/>
        </w:rPr>
        <w:t>master’s</w:t>
      </w:r>
      <w:r w:rsidRPr="00CC2FED">
        <w:rPr>
          <w:rFonts w:ascii="Calibri" w:hAnsi="Calibri" w:cs="Calibri"/>
        </w:rPr>
        <w:t xml:space="preserve"> degree requirements.  </w:t>
      </w:r>
    </w:p>
    <w:p w14:paraId="68DB0830" w14:textId="485EDF11" w:rsidR="00CC2FED" w:rsidRPr="00CC2FED" w:rsidRDefault="00CC2FED" w:rsidP="00CC2FED">
      <w:pPr>
        <w:pStyle w:val="ListParagraph"/>
        <w:numPr>
          <w:ilvl w:val="0"/>
          <w:numId w:val="7"/>
        </w:numPr>
        <w:spacing w:after="0" w:line="240" w:lineRule="auto"/>
        <w:rPr>
          <w:rFonts w:ascii="Calibri" w:hAnsi="Calibri" w:cs="Calibri"/>
        </w:rPr>
      </w:pPr>
      <w:r w:rsidRPr="00CC2FED">
        <w:rPr>
          <w:rFonts w:ascii="Calibri" w:hAnsi="Calibri" w:cs="Calibri"/>
        </w:rPr>
        <w:t xml:space="preserve">Provide streamlined admission, enrollment, and advising services for participating </w:t>
      </w:r>
      <w:r w:rsidR="00F6582F">
        <w:rPr>
          <w:rFonts w:ascii="Calibri" w:hAnsi="Calibri" w:cs="Calibri"/>
        </w:rPr>
        <w:t>NDMU</w:t>
      </w:r>
      <w:r w:rsidRPr="00CC2FED">
        <w:rPr>
          <w:rFonts w:ascii="Calibri" w:hAnsi="Calibri" w:cs="Calibri"/>
        </w:rPr>
        <w:t xml:space="preserve"> students.  </w:t>
      </w:r>
    </w:p>
    <w:p w14:paraId="6CC01281" w14:textId="63F88F55" w:rsidR="00CC2FED" w:rsidRDefault="00CC2FED" w:rsidP="00CC2FED">
      <w:pPr>
        <w:pStyle w:val="ListParagraph"/>
        <w:numPr>
          <w:ilvl w:val="0"/>
          <w:numId w:val="7"/>
        </w:numPr>
        <w:spacing w:after="0" w:line="240" w:lineRule="auto"/>
        <w:rPr>
          <w:rFonts w:ascii="Calibri" w:hAnsi="Calibri" w:cs="Calibri"/>
        </w:rPr>
      </w:pPr>
      <w:r w:rsidRPr="00CC2FED">
        <w:rPr>
          <w:rFonts w:ascii="Calibri" w:hAnsi="Calibri" w:cs="Calibri"/>
        </w:rPr>
        <w:t xml:space="preserve">Work jointly with </w:t>
      </w:r>
      <w:r w:rsidR="00F6582F">
        <w:rPr>
          <w:rFonts w:ascii="Calibri" w:hAnsi="Calibri" w:cs="Calibri"/>
        </w:rPr>
        <w:t>NDMU</w:t>
      </w:r>
      <w:r w:rsidRPr="00CC2FED">
        <w:rPr>
          <w:rFonts w:ascii="Calibri" w:hAnsi="Calibri" w:cs="Calibri"/>
        </w:rPr>
        <w:t xml:space="preserve"> design and implement an ongoing evaluation system for assessing the partnership’s outcomes.  </w:t>
      </w:r>
    </w:p>
    <w:p w14:paraId="1849677D" w14:textId="6CF6E969" w:rsidR="00CC2FED" w:rsidRDefault="00CC2FED" w:rsidP="00CC2FED">
      <w:pPr>
        <w:pStyle w:val="ListParagraph"/>
        <w:numPr>
          <w:ilvl w:val="0"/>
          <w:numId w:val="7"/>
        </w:numPr>
        <w:spacing w:after="0" w:line="240" w:lineRule="auto"/>
        <w:rPr>
          <w:rFonts w:ascii="Calibri" w:hAnsi="Calibri" w:cs="Calibri"/>
        </w:rPr>
      </w:pPr>
      <w:r>
        <w:rPr>
          <w:rFonts w:ascii="Calibri" w:hAnsi="Calibri" w:cs="Calibri"/>
        </w:rPr>
        <w:t xml:space="preserve">Provide a clear program plan (attached to this agreement) for the </w:t>
      </w:r>
      <w:r w:rsidR="00F6582F">
        <w:rPr>
          <w:rFonts w:ascii="Calibri" w:hAnsi="Calibri" w:cs="Calibri"/>
        </w:rPr>
        <w:t>Master’s in Social Work</w:t>
      </w:r>
    </w:p>
    <w:p w14:paraId="5BA24413" w14:textId="7D992972" w:rsidR="00CC2FED" w:rsidRDefault="00CC2FED" w:rsidP="00CC2FED">
      <w:pPr>
        <w:pStyle w:val="ListParagraph"/>
        <w:numPr>
          <w:ilvl w:val="0"/>
          <w:numId w:val="7"/>
        </w:numPr>
        <w:spacing w:after="0" w:line="240" w:lineRule="auto"/>
        <w:rPr>
          <w:rFonts w:ascii="Calibri" w:hAnsi="Calibri" w:cs="Calibri"/>
        </w:rPr>
      </w:pPr>
      <w:r>
        <w:rPr>
          <w:rFonts w:ascii="Calibri" w:hAnsi="Calibri" w:cs="Calibri"/>
        </w:rPr>
        <w:t xml:space="preserve">Offer a discounted tuition and fee rate of </w:t>
      </w:r>
      <w:r w:rsidR="00F2074B">
        <w:rPr>
          <w:rFonts w:ascii="Calibri" w:hAnsi="Calibri" w:cs="Calibri"/>
        </w:rPr>
        <w:t>$</w:t>
      </w:r>
      <w:r w:rsidR="00A03020">
        <w:rPr>
          <w:rFonts w:ascii="Calibri" w:hAnsi="Calibri" w:cs="Calibri"/>
        </w:rPr>
        <w:t>685</w:t>
      </w:r>
      <w:r w:rsidR="00F2074B">
        <w:rPr>
          <w:rFonts w:ascii="Calibri" w:hAnsi="Calibri" w:cs="Calibri"/>
        </w:rPr>
        <w:t xml:space="preserve"> </w:t>
      </w:r>
      <w:r>
        <w:rPr>
          <w:rFonts w:ascii="Calibri" w:hAnsi="Calibri" w:cs="Calibri"/>
        </w:rPr>
        <w:t xml:space="preserve">per credit plus a </w:t>
      </w:r>
      <w:r w:rsidR="00A03020">
        <w:rPr>
          <w:rFonts w:ascii="Calibri" w:hAnsi="Calibri" w:cs="Calibri"/>
        </w:rPr>
        <w:t>$100</w:t>
      </w:r>
      <w:r>
        <w:rPr>
          <w:rFonts w:ascii="Calibri" w:hAnsi="Calibri" w:cs="Calibri"/>
        </w:rPr>
        <w:t xml:space="preserve"> per semester registration fee.</w:t>
      </w:r>
    </w:p>
    <w:p w14:paraId="2B85C0A3" w14:textId="77777777" w:rsidR="00552B93" w:rsidRDefault="00552B93" w:rsidP="00552B93">
      <w:pPr>
        <w:spacing w:after="0" w:line="240" w:lineRule="auto"/>
        <w:rPr>
          <w:rFonts w:ascii="Calibri" w:hAnsi="Calibri" w:cs="Calibri"/>
        </w:rPr>
      </w:pPr>
    </w:p>
    <w:p w14:paraId="20AFD077" w14:textId="77777777" w:rsidR="00552B93" w:rsidRPr="00552B93" w:rsidRDefault="00552B93" w:rsidP="00552B93">
      <w:pPr>
        <w:spacing w:after="0" w:line="240" w:lineRule="auto"/>
        <w:rPr>
          <w:rFonts w:ascii="Calibri" w:hAnsi="Calibri" w:cs="Calibri"/>
          <w:b/>
          <w:bCs/>
        </w:rPr>
      </w:pPr>
      <w:r w:rsidRPr="00552B93">
        <w:rPr>
          <w:rFonts w:ascii="Calibri" w:hAnsi="Calibri" w:cs="Calibri"/>
          <w:b/>
          <w:bCs/>
        </w:rPr>
        <w:t>Marketing and Student Recruitment</w:t>
      </w:r>
    </w:p>
    <w:p w14:paraId="13DD286F" w14:textId="516C75B9" w:rsidR="00552B93" w:rsidRPr="00552B93" w:rsidRDefault="00552B93" w:rsidP="00552B93">
      <w:pPr>
        <w:pStyle w:val="ListParagraph"/>
        <w:numPr>
          <w:ilvl w:val="0"/>
          <w:numId w:val="10"/>
        </w:numPr>
        <w:spacing w:after="0" w:line="240" w:lineRule="auto"/>
        <w:rPr>
          <w:rFonts w:ascii="Calibri" w:hAnsi="Calibri" w:cs="Calibri"/>
        </w:rPr>
      </w:pPr>
      <w:r w:rsidRPr="00552B93">
        <w:rPr>
          <w:rFonts w:ascii="Calibri" w:hAnsi="Calibri" w:cs="Calibri"/>
        </w:rPr>
        <w:t xml:space="preserve">All marketing for the curricular collaboration will be based upon a student recruitment plan mutually developed by </w:t>
      </w:r>
      <w:r>
        <w:rPr>
          <w:rFonts w:ascii="Calibri" w:hAnsi="Calibri" w:cs="Calibri"/>
        </w:rPr>
        <w:t>MMU</w:t>
      </w:r>
      <w:r w:rsidRPr="00552B93">
        <w:rPr>
          <w:rFonts w:ascii="Calibri" w:hAnsi="Calibri" w:cs="Calibri"/>
        </w:rPr>
        <w:t xml:space="preserve"> and </w:t>
      </w:r>
      <w:r>
        <w:rPr>
          <w:rFonts w:ascii="Calibri" w:hAnsi="Calibri" w:cs="Calibri"/>
        </w:rPr>
        <w:t>ND</w:t>
      </w:r>
      <w:r w:rsidRPr="00552B93">
        <w:rPr>
          <w:rFonts w:ascii="Calibri" w:hAnsi="Calibri" w:cs="Calibri"/>
        </w:rPr>
        <w:t>MU.</w:t>
      </w:r>
    </w:p>
    <w:p w14:paraId="2664F24B" w14:textId="09C684B5" w:rsidR="00552B93" w:rsidRPr="00552B93" w:rsidRDefault="00552B93" w:rsidP="00552B93">
      <w:pPr>
        <w:pStyle w:val="ListParagraph"/>
        <w:numPr>
          <w:ilvl w:val="0"/>
          <w:numId w:val="10"/>
        </w:numPr>
        <w:spacing w:after="0" w:line="240" w:lineRule="auto"/>
        <w:rPr>
          <w:rFonts w:ascii="Calibri" w:hAnsi="Calibri" w:cs="Calibri"/>
        </w:rPr>
      </w:pPr>
      <w:r>
        <w:rPr>
          <w:rFonts w:ascii="Calibri" w:hAnsi="Calibri" w:cs="Calibri"/>
        </w:rPr>
        <w:t>MMU</w:t>
      </w:r>
      <w:r w:rsidRPr="00552B93">
        <w:rPr>
          <w:rFonts w:ascii="Calibri" w:hAnsi="Calibri" w:cs="Calibri"/>
        </w:rPr>
        <w:t xml:space="preserve"> and</w:t>
      </w:r>
      <w:r>
        <w:rPr>
          <w:rFonts w:ascii="Calibri" w:hAnsi="Calibri" w:cs="Calibri"/>
        </w:rPr>
        <w:t xml:space="preserve"> ND</w:t>
      </w:r>
      <w:r w:rsidRPr="00552B93">
        <w:rPr>
          <w:rFonts w:ascii="Calibri" w:hAnsi="Calibri" w:cs="Calibri"/>
        </w:rPr>
        <w:t>MU will market the curricular collaboration as part of their regular and ongoing marketing initiatives for their respective programs, including featuring this agreement on their respective Web sites.</w:t>
      </w:r>
    </w:p>
    <w:p w14:paraId="09AFFFC7" w14:textId="3FC29B37" w:rsidR="00552B93" w:rsidRPr="00552B93" w:rsidRDefault="00552B93" w:rsidP="00552B93">
      <w:pPr>
        <w:pStyle w:val="ListParagraph"/>
        <w:numPr>
          <w:ilvl w:val="0"/>
          <w:numId w:val="10"/>
        </w:numPr>
        <w:spacing w:after="0" w:line="240" w:lineRule="auto"/>
        <w:rPr>
          <w:rFonts w:ascii="Calibri" w:hAnsi="Calibri" w:cs="Calibri"/>
        </w:rPr>
      </w:pPr>
      <w:r>
        <w:rPr>
          <w:rFonts w:ascii="Calibri" w:hAnsi="Calibri" w:cs="Calibri"/>
        </w:rPr>
        <w:t>MMU</w:t>
      </w:r>
      <w:r w:rsidRPr="00552B93">
        <w:rPr>
          <w:rFonts w:ascii="Calibri" w:hAnsi="Calibri" w:cs="Calibri"/>
        </w:rPr>
        <w:t xml:space="preserve"> and </w:t>
      </w:r>
      <w:r>
        <w:rPr>
          <w:rFonts w:ascii="Calibri" w:hAnsi="Calibri" w:cs="Calibri"/>
        </w:rPr>
        <w:t>NDMU</w:t>
      </w:r>
      <w:r w:rsidRPr="00552B93">
        <w:rPr>
          <w:rFonts w:ascii="Calibri" w:hAnsi="Calibri" w:cs="Calibri"/>
        </w:rPr>
        <w:t xml:space="preserve"> agree to participate in joint public relations activities such as interviews with local reporters regarding this collaboration.</w:t>
      </w:r>
    </w:p>
    <w:p w14:paraId="3FF42CED" w14:textId="37430778" w:rsidR="00552B93" w:rsidRDefault="00552B93" w:rsidP="00552B93">
      <w:pPr>
        <w:pStyle w:val="ListParagraph"/>
        <w:numPr>
          <w:ilvl w:val="0"/>
          <w:numId w:val="10"/>
        </w:numPr>
        <w:spacing w:after="0" w:line="240" w:lineRule="auto"/>
        <w:rPr>
          <w:rFonts w:ascii="Calibri" w:hAnsi="Calibri" w:cs="Calibri"/>
        </w:rPr>
      </w:pPr>
      <w:r w:rsidRPr="00552B93">
        <w:rPr>
          <w:rFonts w:ascii="Calibri" w:hAnsi="Calibri" w:cs="Calibri"/>
        </w:rPr>
        <w:t xml:space="preserve">The respective </w:t>
      </w:r>
      <w:r>
        <w:rPr>
          <w:rFonts w:ascii="Calibri" w:hAnsi="Calibri" w:cs="Calibri"/>
        </w:rPr>
        <w:t>MMU</w:t>
      </w:r>
      <w:r w:rsidRPr="00552B93">
        <w:rPr>
          <w:rFonts w:ascii="Calibri" w:hAnsi="Calibri" w:cs="Calibri"/>
        </w:rPr>
        <w:t xml:space="preserve"> and </w:t>
      </w:r>
      <w:r>
        <w:rPr>
          <w:rFonts w:ascii="Calibri" w:hAnsi="Calibri" w:cs="Calibri"/>
        </w:rPr>
        <w:t>ND</w:t>
      </w:r>
      <w:r w:rsidRPr="00552B93">
        <w:rPr>
          <w:rFonts w:ascii="Calibri" w:hAnsi="Calibri" w:cs="Calibri"/>
        </w:rPr>
        <w:t xml:space="preserve">MU deans will collaborate and provide input in developing all marketing and public relations. The </w:t>
      </w:r>
      <w:r>
        <w:rPr>
          <w:rFonts w:ascii="Calibri" w:hAnsi="Calibri" w:cs="Calibri"/>
        </w:rPr>
        <w:t>MMU</w:t>
      </w:r>
      <w:r w:rsidRPr="00552B93">
        <w:rPr>
          <w:rFonts w:ascii="Calibri" w:hAnsi="Calibri" w:cs="Calibri"/>
        </w:rPr>
        <w:t xml:space="preserve"> and </w:t>
      </w:r>
      <w:r>
        <w:rPr>
          <w:rFonts w:ascii="Calibri" w:hAnsi="Calibri" w:cs="Calibri"/>
        </w:rPr>
        <w:t>NDMU</w:t>
      </w:r>
      <w:r w:rsidRPr="00552B93">
        <w:rPr>
          <w:rFonts w:ascii="Calibri" w:hAnsi="Calibri" w:cs="Calibri"/>
        </w:rPr>
        <w:t xml:space="preserve"> Provosts will jointly approve all marketing materials.</w:t>
      </w:r>
    </w:p>
    <w:p w14:paraId="54FBDC6A" w14:textId="77777777" w:rsidR="00873CA5" w:rsidRPr="00552B93" w:rsidRDefault="00873CA5" w:rsidP="00873CA5">
      <w:pPr>
        <w:pStyle w:val="ListParagraph"/>
        <w:spacing w:after="0" w:line="240" w:lineRule="auto"/>
        <w:rPr>
          <w:rFonts w:ascii="Calibri" w:hAnsi="Calibri" w:cs="Calibri"/>
        </w:rPr>
      </w:pPr>
    </w:p>
    <w:p w14:paraId="156C6810" w14:textId="77777777" w:rsidR="00552B93" w:rsidRPr="00873CA5" w:rsidRDefault="00552B93" w:rsidP="00873CA5">
      <w:pPr>
        <w:spacing w:after="0" w:line="240" w:lineRule="auto"/>
        <w:rPr>
          <w:rFonts w:ascii="Calibri" w:hAnsi="Calibri" w:cs="Calibri"/>
          <w:b/>
          <w:bCs/>
        </w:rPr>
      </w:pPr>
      <w:r w:rsidRPr="00873CA5">
        <w:rPr>
          <w:rFonts w:ascii="Calibri" w:hAnsi="Calibri" w:cs="Calibri"/>
          <w:b/>
          <w:bCs/>
        </w:rPr>
        <w:t>Point of Contact</w:t>
      </w:r>
    </w:p>
    <w:p w14:paraId="7AE0F571" w14:textId="27ADD49A" w:rsidR="00552B93" w:rsidRPr="00873CA5" w:rsidRDefault="00873CA5" w:rsidP="00873CA5">
      <w:pPr>
        <w:spacing w:after="0" w:line="240" w:lineRule="auto"/>
        <w:rPr>
          <w:rFonts w:ascii="Calibri" w:hAnsi="Calibri" w:cs="Calibri"/>
        </w:rPr>
      </w:pPr>
      <w:r>
        <w:rPr>
          <w:rFonts w:ascii="Calibri" w:hAnsi="Calibri" w:cs="Calibri"/>
        </w:rPr>
        <w:t>MMU</w:t>
      </w:r>
      <w:r w:rsidR="00552B93" w:rsidRPr="00873CA5">
        <w:rPr>
          <w:rFonts w:ascii="Calibri" w:hAnsi="Calibri" w:cs="Calibri"/>
        </w:rPr>
        <w:t xml:space="preserve"> and </w:t>
      </w:r>
      <w:r>
        <w:rPr>
          <w:rFonts w:ascii="Calibri" w:hAnsi="Calibri" w:cs="Calibri"/>
        </w:rPr>
        <w:t>NDMU</w:t>
      </w:r>
      <w:r w:rsidR="00552B93" w:rsidRPr="00873CA5">
        <w:rPr>
          <w:rFonts w:ascii="Calibri" w:hAnsi="Calibri" w:cs="Calibri"/>
        </w:rPr>
        <w:t xml:space="preserve"> will each appoint a faculty or staff liaison to assist </w:t>
      </w:r>
      <w:r>
        <w:rPr>
          <w:rFonts w:ascii="Calibri" w:hAnsi="Calibri" w:cs="Calibri"/>
        </w:rPr>
        <w:t>NDMU</w:t>
      </w:r>
      <w:r w:rsidR="00552B93" w:rsidRPr="00873CA5">
        <w:rPr>
          <w:rFonts w:ascii="Calibri" w:hAnsi="Calibri" w:cs="Calibri"/>
        </w:rPr>
        <w:t xml:space="preserve"> students with academic planning and advising questions.</w:t>
      </w:r>
    </w:p>
    <w:p w14:paraId="6FF19074" w14:textId="77777777" w:rsidR="00552B93" w:rsidRPr="00552B93" w:rsidRDefault="00552B93" w:rsidP="00552B93">
      <w:pPr>
        <w:spacing w:after="0" w:line="240" w:lineRule="auto"/>
        <w:rPr>
          <w:rFonts w:ascii="Calibri" w:hAnsi="Calibri" w:cs="Calibri"/>
        </w:rPr>
      </w:pPr>
    </w:p>
    <w:p w14:paraId="5CAB01E3" w14:textId="77777777" w:rsidR="00A03020" w:rsidRPr="00A03020" w:rsidRDefault="00A03020" w:rsidP="00A03020">
      <w:pPr>
        <w:pStyle w:val="ListParagraph"/>
        <w:spacing w:after="0" w:line="240" w:lineRule="auto"/>
        <w:rPr>
          <w:rFonts w:ascii="Calibri" w:hAnsi="Calibri" w:cs="Calibri"/>
        </w:rPr>
      </w:pPr>
    </w:p>
    <w:p w14:paraId="7B1A7187" w14:textId="1086C953"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Resource Sharing/Funding  </w:t>
      </w:r>
    </w:p>
    <w:p w14:paraId="40824613" w14:textId="77777777" w:rsidR="00CC2FED" w:rsidRPr="00CC2FED" w:rsidRDefault="00CC2FED" w:rsidP="00CC2FED">
      <w:pPr>
        <w:spacing w:after="0" w:line="240" w:lineRule="auto"/>
        <w:rPr>
          <w:rFonts w:ascii="Calibri" w:hAnsi="Calibri" w:cs="Calibri"/>
        </w:rPr>
      </w:pPr>
      <w:r w:rsidRPr="00CC2FED">
        <w:rPr>
          <w:rFonts w:ascii="Calibri" w:hAnsi="Calibri" w:cs="Calibri"/>
        </w:rPr>
        <w:t>Each institution shall share resources to sustain the partnership. Existing policies governing expenditures and resource use shall apply. Course syllabi, materials, and other intellectual property developed under this agreement will remain the property of the originating institution.</w:t>
      </w:r>
    </w:p>
    <w:p w14:paraId="0171C6F4" w14:textId="77777777" w:rsidR="00CC2FED" w:rsidRPr="00CC2FED" w:rsidRDefault="00CC2FED" w:rsidP="00CC2FED">
      <w:pPr>
        <w:spacing w:after="0" w:line="240" w:lineRule="auto"/>
        <w:rPr>
          <w:rFonts w:ascii="Calibri" w:hAnsi="Calibri" w:cs="Calibri"/>
        </w:rPr>
      </w:pPr>
    </w:p>
    <w:p w14:paraId="04EA3D6F" w14:textId="10CE2A93"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Governance  </w:t>
      </w:r>
    </w:p>
    <w:p w14:paraId="2943870C" w14:textId="550E8346" w:rsidR="00CC2FED" w:rsidRPr="00CC2FED" w:rsidRDefault="00CC2FED" w:rsidP="00CC2FED">
      <w:pPr>
        <w:spacing w:after="0" w:line="240" w:lineRule="auto"/>
        <w:rPr>
          <w:rFonts w:ascii="Calibri" w:hAnsi="Calibri" w:cs="Calibri"/>
        </w:rPr>
      </w:pPr>
      <w:r w:rsidRPr="00CC2FED">
        <w:rPr>
          <w:rFonts w:ascii="Calibri" w:hAnsi="Calibri" w:cs="Calibri"/>
        </w:rPr>
        <w:t xml:space="preserve">This agreement shall be governed by the laws of the State of </w:t>
      </w:r>
      <w:r w:rsidR="001441E1">
        <w:rPr>
          <w:rFonts w:ascii="Calibri" w:hAnsi="Calibri" w:cs="Calibri"/>
        </w:rPr>
        <w:t xml:space="preserve">Wisconsin. Representatives </w:t>
      </w:r>
      <w:r w:rsidRPr="00CC2FED">
        <w:rPr>
          <w:rFonts w:ascii="Calibri" w:hAnsi="Calibri" w:cs="Calibri"/>
        </w:rPr>
        <w:t>from both institutions will meet annually to review the program, address updates, and ensure its continued success. Any modifications to this MOU must be documented in writing and signed by authorized representatives of both parties.</w:t>
      </w:r>
    </w:p>
    <w:p w14:paraId="0888D221" w14:textId="77777777" w:rsidR="00CC2FED" w:rsidRPr="00CC2FED" w:rsidRDefault="00CC2FED" w:rsidP="00CC2FED">
      <w:pPr>
        <w:spacing w:after="0" w:line="240" w:lineRule="auto"/>
        <w:rPr>
          <w:rFonts w:ascii="Calibri" w:hAnsi="Calibri" w:cs="Calibri"/>
        </w:rPr>
      </w:pPr>
    </w:p>
    <w:p w14:paraId="03F1F0C7" w14:textId="07789FC5"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Term of Agreement  </w:t>
      </w:r>
    </w:p>
    <w:p w14:paraId="59C85C6F" w14:textId="0A8D72FA" w:rsidR="00CC2FED" w:rsidRPr="00CC2FED" w:rsidRDefault="00CC2FED" w:rsidP="00CC2FED">
      <w:pPr>
        <w:spacing w:after="0" w:line="240" w:lineRule="auto"/>
        <w:rPr>
          <w:rFonts w:ascii="Calibri" w:hAnsi="Calibri" w:cs="Calibri"/>
        </w:rPr>
      </w:pPr>
      <w:r w:rsidRPr="00CC2FED">
        <w:rPr>
          <w:rFonts w:ascii="Calibri" w:hAnsi="Calibri" w:cs="Calibri"/>
        </w:rPr>
        <w:t>This MOU will remain in effect for five years from the date of execution, unless terminated earlier by mutual consent or written notice provided at least 30 days in advance.</w:t>
      </w:r>
    </w:p>
    <w:p w14:paraId="768EF8DF" w14:textId="77777777" w:rsidR="00CC2FED" w:rsidRPr="00CC2FED" w:rsidRDefault="00CC2FED" w:rsidP="00CC2FED">
      <w:pPr>
        <w:spacing w:after="0" w:line="240" w:lineRule="auto"/>
        <w:rPr>
          <w:rFonts w:ascii="Calibri" w:hAnsi="Calibri" w:cs="Calibri"/>
        </w:rPr>
      </w:pPr>
    </w:p>
    <w:p w14:paraId="65EE6817" w14:textId="4D77039C" w:rsidR="00CC2FED" w:rsidRPr="00CC2FED" w:rsidRDefault="00CC2FED" w:rsidP="00CC2FED">
      <w:pPr>
        <w:spacing w:after="0" w:line="240" w:lineRule="auto"/>
        <w:rPr>
          <w:rFonts w:ascii="Calibri" w:hAnsi="Calibri" w:cs="Calibri"/>
          <w:b/>
          <w:bCs/>
        </w:rPr>
      </w:pPr>
      <w:r w:rsidRPr="00CC2FED">
        <w:rPr>
          <w:rFonts w:ascii="Calibri" w:hAnsi="Calibri" w:cs="Calibri"/>
          <w:b/>
          <w:bCs/>
        </w:rPr>
        <w:lastRenderedPageBreak/>
        <w:t xml:space="preserve">Termination  </w:t>
      </w:r>
    </w:p>
    <w:p w14:paraId="061C158C" w14:textId="77777777" w:rsidR="00CC2FED" w:rsidRPr="00CC2FED" w:rsidRDefault="00CC2FED" w:rsidP="00CC2FED">
      <w:pPr>
        <w:spacing w:after="0" w:line="240" w:lineRule="auto"/>
        <w:rPr>
          <w:rFonts w:ascii="Calibri" w:hAnsi="Calibri" w:cs="Calibri"/>
        </w:rPr>
      </w:pPr>
      <w:r w:rsidRPr="00CC2FED">
        <w:rPr>
          <w:rFonts w:ascii="Calibri" w:hAnsi="Calibri" w:cs="Calibri"/>
        </w:rPr>
        <w:t xml:space="preserve">Either party may terminate the agreement under the following conditions:  </w:t>
      </w:r>
    </w:p>
    <w:p w14:paraId="7E735181" w14:textId="33CAE460" w:rsidR="00CC2FED" w:rsidRPr="00CC2FED" w:rsidRDefault="00CC2FED" w:rsidP="00CC2FED">
      <w:pPr>
        <w:pStyle w:val="ListParagraph"/>
        <w:numPr>
          <w:ilvl w:val="0"/>
          <w:numId w:val="8"/>
        </w:numPr>
        <w:spacing w:after="0" w:line="240" w:lineRule="auto"/>
        <w:rPr>
          <w:rFonts w:ascii="Calibri" w:hAnsi="Calibri" w:cs="Calibri"/>
        </w:rPr>
      </w:pPr>
      <w:r w:rsidRPr="00CC2FED">
        <w:rPr>
          <w:rFonts w:ascii="Calibri" w:hAnsi="Calibri" w:cs="Calibri"/>
        </w:rPr>
        <w:t xml:space="preserve">Mutual agreement by both institutions.  </w:t>
      </w:r>
    </w:p>
    <w:p w14:paraId="290AC42A" w14:textId="0C092828" w:rsidR="00CC2FED" w:rsidRPr="00CC2FED" w:rsidRDefault="00CC2FED" w:rsidP="00CC2FED">
      <w:pPr>
        <w:pStyle w:val="ListParagraph"/>
        <w:numPr>
          <w:ilvl w:val="0"/>
          <w:numId w:val="8"/>
        </w:numPr>
        <w:spacing w:after="0" w:line="240" w:lineRule="auto"/>
        <w:rPr>
          <w:rFonts w:ascii="Calibri" w:hAnsi="Calibri" w:cs="Calibri"/>
        </w:rPr>
      </w:pPr>
      <w:r w:rsidRPr="00CC2FED">
        <w:rPr>
          <w:rFonts w:ascii="Calibri" w:hAnsi="Calibri" w:cs="Calibri"/>
        </w:rPr>
        <w:t xml:space="preserve">Breach of terms and failure to resolve within a specified period.  </w:t>
      </w:r>
    </w:p>
    <w:p w14:paraId="1D14544E" w14:textId="64D86281" w:rsidR="00CC2FED" w:rsidRPr="00CC2FED" w:rsidRDefault="00CC2FED" w:rsidP="00CC2FED">
      <w:pPr>
        <w:pStyle w:val="ListParagraph"/>
        <w:numPr>
          <w:ilvl w:val="0"/>
          <w:numId w:val="8"/>
        </w:numPr>
        <w:spacing w:after="0" w:line="240" w:lineRule="auto"/>
        <w:rPr>
          <w:rFonts w:ascii="Calibri" w:hAnsi="Calibri" w:cs="Calibri"/>
        </w:rPr>
      </w:pPr>
      <w:r w:rsidRPr="00CC2FED">
        <w:rPr>
          <w:rFonts w:ascii="Calibri" w:hAnsi="Calibri" w:cs="Calibri"/>
        </w:rPr>
        <w:t>Loss of funding or insufficient financial support for program continuation.</w:t>
      </w:r>
    </w:p>
    <w:p w14:paraId="2FF2EE08" w14:textId="77777777" w:rsidR="00CC2FED" w:rsidRPr="00CC2FED" w:rsidRDefault="00CC2FED" w:rsidP="00CC2FED">
      <w:pPr>
        <w:spacing w:after="0" w:line="240" w:lineRule="auto"/>
        <w:rPr>
          <w:rFonts w:ascii="Calibri" w:hAnsi="Calibri" w:cs="Calibri"/>
        </w:rPr>
      </w:pPr>
    </w:p>
    <w:p w14:paraId="15A27D81" w14:textId="78BF97F3" w:rsidR="00CC2FED" w:rsidRPr="00CC2FED" w:rsidRDefault="00CC2FED" w:rsidP="00CC2FED">
      <w:pPr>
        <w:spacing w:after="0" w:line="240" w:lineRule="auto"/>
        <w:rPr>
          <w:rFonts w:ascii="Calibri" w:hAnsi="Calibri" w:cs="Calibri"/>
        </w:rPr>
      </w:pPr>
      <w:r w:rsidRPr="00CC2FED">
        <w:rPr>
          <w:rFonts w:ascii="Calibri" w:hAnsi="Calibri" w:cs="Calibri"/>
        </w:rPr>
        <w:t xml:space="preserve">Students already enrolled in a </w:t>
      </w:r>
      <w:r w:rsidR="00A03020">
        <w:rPr>
          <w:rFonts w:ascii="Calibri" w:hAnsi="Calibri" w:cs="Calibri"/>
        </w:rPr>
        <w:t>master’s</w:t>
      </w:r>
      <w:r w:rsidRPr="00CC2FED">
        <w:rPr>
          <w:rFonts w:ascii="Calibri" w:hAnsi="Calibri" w:cs="Calibri"/>
        </w:rPr>
        <w:t xml:space="preserve"> program at the time of termination will be permitted to complete their studies under the agreed terms.</w:t>
      </w:r>
    </w:p>
    <w:p w14:paraId="15B5741D" w14:textId="77777777" w:rsidR="00CC2FED" w:rsidRPr="00CC2FED" w:rsidRDefault="00CC2FED" w:rsidP="00CC2FED">
      <w:pPr>
        <w:spacing w:after="0" w:line="240" w:lineRule="auto"/>
        <w:rPr>
          <w:rFonts w:ascii="Calibri" w:hAnsi="Calibri" w:cs="Calibri"/>
        </w:rPr>
      </w:pPr>
    </w:p>
    <w:p w14:paraId="7C0101CC" w14:textId="170C752C"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Nondiscrimination Clause  </w:t>
      </w:r>
    </w:p>
    <w:p w14:paraId="4DAEF861" w14:textId="44508107" w:rsidR="00CC2FED" w:rsidRPr="00CC2FED" w:rsidRDefault="00CC2FED" w:rsidP="00CC2FED">
      <w:pPr>
        <w:spacing w:after="0" w:line="240" w:lineRule="auto"/>
        <w:rPr>
          <w:rFonts w:ascii="Calibri" w:hAnsi="Calibri" w:cs="Calibri"/>
        </w:rPr>
      </w:pPr>
      <w:r w:rsidRPr="00CC2FED">
        <w:rPr>
          <w:rFonts w:ascii="Calibri" w:hAnsi="Calibri" w:cs="Calibri"/>
        </w:rPr>
        <w:t>Both MMU and NDMU commit to fostering an inclusive academic environment free from discrimination based on age, sex, sexual orientation, race, religion, national origin, disability, or veteran status.</w:t>
      </w:r>
    </w:p>
    <w:p w14:paraId="139050B3" w14:textId="77777777" w:rsidR="00CC2FED" w:rsidRPr="00CC2FED" w:rsidRDefault="00CC2FED" w:rsidP="00CC2FED">
      <w:pPr>
        <w:spacing w:after="0" w:line="240" w:lineRule="auto"/>
        <w:rPr>
          <w:rFonts w:ascii="Calibri" w:hAnsi="Calibri" w:cs="Calibri"/>
        </w:rPr>
      </w:pPr>
    </w:p>
    <w:p w14:paraId="2274AAA9" w14:textId="51C1D103" w:rsidR="00CC2FED" w:rsidRPr="00CC2FED" w:rsidRDefault="00CC2FED" w:rsidP="00CC2FED">
      <w:pPr>
        <w:spacing w:after="0" w:line="240" w:lineRule="auto"/>
        <w:rPr>
          <w:rFonts w:ascii="Calibri" w:hAnsi="Calibri" w:cs="Calibri"/>
          <w:b/>
          <w:bCs/>
        </w:rPr>
      </w:pPr>
      <w:r w:rsidRPr="00CC2FED">
        <w:rPr>
          <w:rFonts w:ascii="Calibri" w:hAnsi="Calibri" w:cs="Calibri"/>
          <w:b/>
          <w:bCs/>
        </w:rPr>
        <w:t xml:space="preserve">Amendments  </w:t>
      </w:r>
    </w:p>
    <w:p w14:paraId="70C3E1BE" w14:textId="5F72C27B" w:rsidR="00CC2FED" w:rsidRPr="00CC2FED" w:rsidRDefault="00CC2FED" w:rsidP="00CC2FED">
      <w:pPr>
        <w:spacing w:after="0" w:line="240" w:lineRule="auto"/>
        <w:rPr>
          <w:rFonts w:ascii="Calibri" w:hAnsi="Calibri" w:cs="Calibri"/>
        </w:rPr>
      </w:pPr>
      <w:r w:rsidRPr="00CC2FED">
        <w:rPr>
          <w:rFonts w:ascii="Calibri" w:hAnsi="Calibri" w:cs="Calibri"/>
        </w:rPr>
        <w:t>Amendments to this agreement may only be made through mutual written consent of authorized representatives from MMU and NDMU.</w:t>
      </w:r>
    </w:p>
    <w:p w14:paraId="49B36346" w14:textId="77777777" w:rsidR="00CC2FED" w:rsidRPr="00CC2FED" w:rsidRDefault="00CC2FED" w:rsidP="00CC2FED">
      <w:pPr>
        <w:spacing w:after="0" w:line="240" w:lineRule="auto"/>
        <w:rPr>
          <w:rFonts w:ascii="Calibri" w:hAnsi="Calibri" w:cs="Calibri"/>
        </w:rPr>
      </w:pPr>
    </w:p>
    <w:p w14:paraId="655FF18B" w14:textId="77777777" w:rsidR="00CC2FED" w:rsidRDefault="00CC2FED" w:rsidP="00CC2FED">
      <w:pPr>
        <w:spacing w:after="0" w:line="240" w:lineRule="auto"/>
        <w:rPr>
          <w:rFonts w:ascii="Calibri" w:hAnsi="Calibri" w:cs="Calibri"/>
        </w:rPr>
      </w:pPr>
    </w:p>
    <w:p w14:paraId="01F45444" w14:textId="4F178E20" w:rsidR="00CC2FED" w:rsidRPr="00CC2FED" w:rsidRDefault="00CC2FED" w:rsidP="00CC2FED">
      <w:pPr>
        <w:spacing w:after="0" w:line="240" w:lineRule="auto"/>
        <w:rPr>
          <w:rFonts w:ascii="Calibri" w:hAnsi="Calibri" w:cs="Calibri"/>
        </w:rPr>
      </w:pPr>
      <w:r w:rsidRPr="00CC2FED">
        <w:rPr>
          <w:rFonts w:ascii="Calibri" w:hAnsi="Calibri" w:cs="Calibri"/>
        </w:rPr>
        <w:t>IN WITNESS WHEREOF, the parties have executed this Memorandum of Understanding as of the date written below:</w:t>
      </w:r>
    </w:p>
    <w:p w14:paraId="03D0D22D" w14:textId="77777777" w:rsidR="00CC2FED" w:rsidRPr="00CC2FED" w:rsidRDefault="00CC2FED" w:rsidP="00CC2FED">
      <w:pPr>
        <w:spacing w:after="0" w:line="240" w:lineRule="auto"/>
        <w:rPr>
          <w:rFonts w:ascii="Calibri" w:hAnsi="Calibri" w:cs="Calibri"/>
        </w:rPr>
      </w:pPr>
    </w:p>
    <w:p w14:paraId="406B4F6E" w14:textId="77777777" w:rsidR="00813E16" w:rsidRDefault="001441E1" w:rsidP="00CC2FED">
      <w:pPr>
        <w:spacing w:after="0" w:line="240" w:lineRule="auto"/>
        <w:rPr>
          <w:rFonts w:ascii="Calibri" w:hAnsi="Calibri" w:cs="Calibri"/>
        </w:rPr>
      </w:pPr>
      <w:r w:rsidRPr="00CC2FED">
        <w:rPr>
          <w:rFonts w:ascii="Calibri" w:hAnsi="Calibri" w:cs="Calibri"/>
        </w:rPr>
        <w:t xml:space="preserve">Notre Dame of Maryland University  </w:t>
      </w:r>
    </w:p>
    <w:p w14:paraId="0C6D4483" w14:textId="77777777" w:rsidR="00813E16" w:rsidRDefault="00813E16" w:rsidP="00CC2FED">
      <w:pPr>
        <w:spacing w:after="0" w:line="240" w:lineRule="auto"/>
        <w:rPr>
          <w:rFonts w:ascii="Calibri" w:hAnsi="Calibri" w:cs="Calibri"/>
        </w:rPr>
      </w:pPr>
    </w:p>
    <w:p w14:paraId="6BBBB62E" w14:textId="7777777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normaltextrun"/>
          <w:rFonts w:ascii="Arial" w:eastAsiaTheme="majorEastAsia" w:hAnsi="Arial" w:cs="Arial"/>
          <w:color w:val="1F1F1F"/>
          <w:sz w:val="22"/>
          <w:szCs w:val="22"/>
        </w:rPr>
        <w:t>By:</w:t>
      </w:r>
      <w:r>
        <w:rPr>
          <w:rStyle w:val="eop"/>
          <w:rFonts w:ascii="Arial" w:eastAsiaTheme="majorEastAsia" w:hAnsi="Arial" w:cs="Arial"/>
          <w:color w:val="1F1F1F"/>
          <w:sz w:val="22"/>
          <w:szCs w:val="22"/>
        </w:rPr>
        <w:t> </w:t>
      </w:r>
    </w:p>
    <w:p w14:paraId="1B48EACA" w14:textId="7777777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57640665" w14:textId="7777777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62D6E25C" w14:textId="77777777" w:rsidR="00813E16" w:rsidRDefault="00813E16" w:rsidP="00965591">
      <w:pPr>
        <w:pStyle w:val="paragraph"/>
        <w:spacing w:before="0" w:beforeAutospacing="0" w:after="0" w:afterAutospacing="0"/>
        <w:ind w:right="4590"/>
        <w:textAlignment w:val="baseline"/>
        <w:rPr>
          <w:rStyle w:val="normaltextrun"/>
          <w:rFonts w:ascii="Arial" w:eastAsiaTheme="majorEastAsia" w:hAnsi="Arial" w:cs="Arial"/>
          <w:color w:val="1F1F1F"/>
          <w:sz w:val="22"/>
          <w:szCs w:val="22"/>
        </w:rPr>
      </w:pPr>
    </w:p>
    <w:p w14:paraId="335647AE" w14:textId="2587B92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normaltextrun"/>
          <w:rFonts w:ascii="Arial" w:eastAsiaTheme="majorEastAsia" w:hAnsi="Arial" w:cs="Arial"/>
          <w:color w:val="1F1F1F"/>
          <w:sz w:val="22"/>
          <w:szCs w:val="22"/>
        </w:rPr>
        <w:t>Name: Marylou, Yam, PhD</w:t>
      </w:r>
      <w:r>
        <w:rPr>
          <w:rStyle w:val="eop"/>
          <w:rFonts w:ascii="Arial" w:eastAsiaTheme="majorEastAsia" w:hAnsi="Arial" w:cs="Arial"/>
          <w:color w:val="1F1F1F"/>
          <w:sz w:val="22"/>
          <w:szCs w:val="22"/>
        </w:rPr>
        <w:t> </w:t>
      </w:r>
    </w:p>
    <w:p w14:paraId="1008A2C6" w14:textId="7777777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normaltextrun"/>
          <w:rFonts w:ascii="Arial" w:eastAsiaTheme="majorEastAsia" w:hAnsi="Arial" w:cs="Arial"/>
          <w:color w:val="1F1F1F"/>
          <w:sz w:val="22"/>
          <w:szCs w:val="22"/>
        </w:rPr>
        <w:t>Title: President</w:t>
      </w:r>
      <w:r>
        <w:rPr>
          <w:rStyle w:val="eop"/>
          <w:rFonts w:ascii="Arial" w:eastAsiaTheme="majorEastAsia" w:hAnsi="Arial" w:cs="Arial"/>
          <w:color w:val="1F1F1F"/>
          <w:sz w:val="22"/>
          <w:szCs w:val="22"/>
        </w:rPr>
        <w:t> </w:t>
      </w:r>
    </w:p>
    <w:p w14:paraId="36594120" w14:textId="77777777" w:rsidR="00813E16" w:rsidRDefault="00813E16" w:rsidP="00965591">
      <w:pPr>
        <w:pStyle w:val="paragraph"/>
        <w:spacing w:before="0" w:beforeAutospacing="0" w:after="0" w:afterAutospacing="0"/>
        <w:ind w:right="4590"/>
        <w:textAlignment w:val="baseline"/>
        <w:rPr>
          <w:rFonts w:ascii="Segoe UI" w:hAnsi="Segoe UI" w:cs="Segoe UI"/>
          <w:sz w:val="18"/>
          <w:szCs w:val="18"/>
        </w:rPr>
      </w:pPr>
      <w:r>
        <w:rPr>
          <w:rStyle w:val="normaltextrun"/>
          <w:rFonts w:ascii="Arial" w:eastAsiaTheme="majorEastAsia" w:hAnsi="Arial" w:cs="Arial"/>
          <w:color w:val="1F1F1F"/>
          <w:sz w:val="22"/>
          <w:szCs w:val="22"/>
        </w:rPr>
        <w:t>August 1, 2025</w:t>
      </w:r>
      <w:r>
        <w:rPr>
          <w:rStyle w:val="eop"/>
          <w:rFonts w:ascii="Arial" w:eastAsiaTheme="majorEastAsia" w:hAnsi="Arial" w:cs="Arial"/>
          <w:color w:val="1F1F1F"/>
          <w:sz w:val="22"/>
          <w:szCs w:val="22"/>
        </w:rPr>
        <w:t> </w:t>
      </w:r>
    </w:p>
    <w:p w14:paraId="6CCF12CF" w14:textId="77777777" w:rsidR="00813E16" w:rsidRDefault="00813E16" w:rsidP="00965591">
      <w:pPr>
        <w:spacing w:after="0" w:line="240" w:lineRule="auto"/>
        <w:rPr>
          <w:rFonts w:ascii="Calibri" w:hAnsi="Calibri" w:cs="Calibri"/>
        </w:rPr>
      </w:pPr>
    </w:p>
    <w:p w14:paraId="7D1BBDEB" w14:textId="5F1182AA" w:rsidR="00CC2FED" w:rsidRPr="00CC2FED" w:rsidRDefault="00CC2FED" w:rsidP="00CC2FED">
      <w:pPr>
        <w:spacing w:after="0" w:line="240" w:lineRule="auto"/>
        <w:rPr>
          <w:rFonts w:ascii="Calibri" w:hAnsi="Calibri" w:cs="Calibri"/>
        </w:rPr>
      </w:pPr>
      <w:r w:rsidRPr="00CC2FED">
        <w:rPr>
          <w:rFonts w:ascii="Calibri" w:hAnsi="Calibri" w:cs="Calibri"/>
        </w:rPr>
        <w:t xml:space="preserve">  </w:t>
      </w:r>
    </w:p>
    <w:p w14:paraId="5B66617B" w14:textId="77C305B5" w:rsidR="00CC2FED" w:rsidRPr="00CC2FED" w:rsidRDefault="00CC2FED" w:rsidP="00CC2FED">
      <w:pPr>
        <w:spacing w:after="0" w:line="240" w:lineRule="auto"/>
        <w:rPr>
          <w:rFonts w:ascii="Calibri" w:hAnsi="Calibri" w:cs="Calibri"/>
        </w:rPr>
      </w:pPr>
      <w:r w:rsidRPr="00CC2FED">
        <w:rPr>
          <w:rFonts w:ascii="Calibri" w:hAnsi="Calibri" w:cs="Calibri"/>
        </w:rPr>
        <w:t xml:space="preserve">By: </w:t>
      </w:r>
      <w:r w:rsidR="00313BE9" w:rsidRPr="00313BE9">
        <w:rPr>
          <w:rStyle w:val="Heading1Char"/>
          <w:rFonts w:ascii="Segoe UI" w:hAnsi="Segoe UI" w:cs="Segoe UI"/>
          <w:noProof/>
          <w:color w:val="000000"/>
          <w:sz w:val="18"/>
          <w:szCs w:val="18"/>
          <w:shd w:val="clear" w:color="auto" w:fill="FFFFFF"/>
        </w:rPr>
        <w:t xml:space="preserve"> </w:t>
      </w:r>
      <w:r w:rsidR="00313BE9">
        <w:rPr>
          <w:rStyle w:val="wacimagecontainer"/>
          <w:rFonts w:ascii="Segoe UI" w:hAnsi="Segoe UI" w:cs="Segoe UI"/>
          <w:noProof/>
          <w:color w:val="000000"/>
          <w:sz w:val="18"/>
          <w:szCs w:val="18"/>
          <w:shd w:val="clear" w:color="auto" w:fill="FFFFFF"/>
        </w:rPr>
        <w:drawing>
          <wp:inline distT="0" distB="0" distL="0" distR="0" wp14:anchorId="1485F989" wp14:editId="72C2AF32">
            <wp:extent cx="1981200" cy="228600"/>
            <wp:effectExtent l="0" t="0" r="0" b="0"/>
            <wp:docPr id="2"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28600"/>
                    </a:xfrm>
                    <a:prstGeom prst="rect">
                      <a:avLst/>
                    </a:prstGeom>
                    <a:noFill/>
                    <a:ln>
                      <a:noFill/>
                    </a:ln>
                  </pic:spPr>
                </pic:pic>
              </a:graphicData>
            </a:graphic>
          </wp:inline>
        </w:drawing>
      </w:r>
      <w:r w:rsidR="00313BE9">
        <w:rPr>
          <w:color w:val="000000"/>
          <w:shd w:val="clear" w:color="auto" w:fill="FFFFFF"/>
        </w:rPr>
        <w:br/>
      </w:r>
      <w:r w:rsidRPr="00CC2FED">
        <w:rPr>
          <w:rFonts w:ascii="Calibri" w:hAnsi="Calibri" w:cs="Calibri"/>
        </w:rPr>
        <w:t xml:space="preserve">Name:  </w:t>
      </w:r>
      <w:r w:rsidR="00313BE9">
        <w:rPr>
          <w:rFonts w:ascii="Calibri" w:hAnsi="Calibri" w:cs="Calibri"/>
        </w:rPr>
        <w:t>Martha Walker, PhD</w:t>
      </w:r>
    </w:p>
    <w:p w14:paraId="01B68467" w14:textId="57AB3883" w:rsidR="00CC2FED" w:rsidRPr="00CC2FED" w:rsidRDefault="00CC2FED" w:rsidP="00CC2FED">
      <w:pPr>
        <w:spacing w:after="0" w:line="240" w:lineRule="auto"/>
        <w:rPr>
          <w:rFonts w:ascii="Calibri" w:hAnsi="Calibri" w:cs="Calibri"/>
        </w:rPr>
      </w:pPr>
      <w:r w:rsidRPr="00CC2FED">
        <w:rPr>
          <w:rFonts w:ascii="Calibri" w:hAnsi="Calibri" w:cs="Calibri"/>
        </w:rPr>
        <w:t xml:space="preserve">Title:  </w:t>
      </w:r>
      <w:r w:rsidR="00313BE9">
        <w:rPr>
          <w:rFonts w:ascii="Calibri" w:hAnsi="Calibri" w:cs="Calibri"/>
        </w:rPr>
        <w:t>Provost and Vice President for Academic Affairs</w:t>
      </w:r>
    </w:p>
    <w:p w14:paraId="5202194A" w14:textId="33E1F734" w:rsidR="00D2076C" w:rsidRDefault="00CC2FED" w:rsidP="00CC2FED">
      <w:pPr>
        <w:spacing w:after="0" w:line="240" w:lineRule="auto"/>
        <w:rPr>
          <w:rFonts w:ascii="Calibri" w:hAnsi="Calibri" w:cs="Calibri"/>
        </w:rPr>
      </w:pPr>
      <w:r w:rsidRPr="00CC2FED">
        <w:rPr>
          <w:rFonts w:ascii="Calibri" w:hAnsi="Calibri" w:cs="Calibri"/>
        </w:rPr>
        <w:t xml:space="preserve">Date:  </w:t>
      </w:r>
      <w:r w:rsidR="00313BE9">
        <w:rPr>
          <w:rFonts w:ascii="Calibri" w:hAnsi="Calibri" w:cs="Calibri"/>
        </w:rPr>
        <w:t>March 21, 2025</w:t>
      </w:r>
    </w:p>
    <w:p w14:paraId="7ED54AD2" w14:textId="77777777" w:rsidR="00D2076C" w:rsidRDefault="00D2076C">
      <w:pPr>
        <w:rPr>
          <w:rFonts w:ascii="Calibri" w:hAnsi="Calibri" w:cs="Calibri"/>
        </w:rPr>
      </w:pPr>
      <w:r>
        <w:rPr>
          <w:rFonts w:ascii="Calibri" w:hAnsi="Calibri" w:cs="Calibri"/>
        </w:rPr>
        <w:br w:type="page"/>
      </w:r>
    </w:p>
    <w:p w14:paraId="44BEF5D0" w14:textId="364A0FF5" w:rsidR="001441E1" w:rsidRDefault="001441E1" w:rsidP="00873CA5">
      <w:pPr>
        <w:spacing w:line="240" w:lineRule="auto"/>
        <w:rPr>
          <w:rFonts w:ascii="Calibri" w:hAnsi="Calibri" w:cs="Calibri"/>
        </w:rPr>
      </w:pPr>
      <w:r>
        <w:rPr>
          <w:rFonts w:ascii="Calibri" w:hAnsi="Calibri" w:cs="Calibri"/>
        </w:rPr>
        <w:lastRenderedPageBreak/>
        <w:t>Mount Mary University</w:t>
      </w:r>
    </w:p>
    <w:p w14:paraId="2F21A0E5"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F1F1F"/>
          <w:sz w:val="22"/>
          <w:szCs w:val="22"/>
        </w:rPr>
        <w:t>By:</w:t>
      </w:r>
      <w:r>
        <w:rPr>
          <w:rStyle w:val="eop"/>
          <w:rFonts w:ascii="Arial" w:eastAsiaTheme="majorEastAsia" w:hAnsi="Arial" w:cs="Arial"/>
          <w:color w:val="1F1F1F"/>
          <w:sz w:val="22"/>
          <w:szCs w:val="22"/>
        </w:rPr>
        <w:t> </w:t>
      </w:r>
    </w:p>
    <w:p w14:paraId="38264530"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2F390DAB"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3ACE1AAF"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0FE282F2"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F1F1F"/>
          <w:sz w:val="22"/>
          <w:szCs w:val="22"/>
        </w:rPr>
        <w:t> </w:t>
      </w:r>
    </w:p>
    <w:p w14:paraId="7FC62972" w14:textId="1E7E110C"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F1F1F"/>
          <w:sz w:val="22"/>
          <w:szCs w:val="22"/>
        </w:rPr>
        <w:t>Name:</w:t>
      </w:r>
      <w:r>
        <w:rPr>
          <w:rStyle w:val="eop"/>
          <w:rFonts w:ascii="Arial" w:eastAsiaTheme="majorEastAsia" w:hAnsi="Arial" w:cs="Arial"/>
          <w:color w:val="1F1F1F"/>
          <w:sz w:val="22"/>
          <w:szCs w:val="22"/>
        </w:rPr>
        <w:t> </w:t>
      </w:r>
      <w:r w:rsidR="00E97F42">
        <w:rPr>
          <w:rStyle w:val="eop"/>
          <w:rFonts w:ascii="Arial" w:eastAsiaTheme="majorEastAsia" w:hAnsi="Arial" w:cs="Arial"/>
          <w:color w:val="1F1F1F"/>
          <w:sz w:val="22"/>
          <w:szCs w:val="22"/>
        </w:rPr>
        <w:t>Isabelle</w:t>
      </w:r>
      <w:r w:rsidR="00F03434">
        <w:rPr>
          <w:rStyle w:val="eop"/>
          <w:rFonts w:ascii="Arial" w:eastAsiaTheme="majorEastAsia" w:hAnsi="Arial" w:cs="Arial"/>
          <w:color w:val="1F1F1F"/>
          <w:sz w:val="22"/>
          <w:szCs w:val="22"/>
        </w:rPr>
        <w:t xml:space="preserve"> Cherney, PhD</w:t>
      </w:r>
    </w:p>
    <w:p w14:paraId="7030E8B5"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F1F1F"/>
          <w:sz w:val="22"/>
          <w:szCs w:val="22"/>
        </w:rPr>
        <w:t>Title: President</w:t>
      </w:r>
      <w:r>
        <w:rPr>
          <w:rStyle w:val="eop"/>
          <w:rFonts w:ascii="Arial" w:eastAsiaTheme="majorEastAsia" w:hAnsi="Arial" w:cs="Arial"/>
          <w:color w:val="1F1F1F"/>
          <w:sz w:val="22"/>
          <w:szCs w:val="22"/>
        </w:rPr>
        <w:t> </w:t>
      </w:r>
    </w:p>
    <w:p w14:paraId="1F5C4FFB" w14:textId="77777777" w:rsidR="00CD0733" w:rsidRDefault="00CD0733" w:rsidP="00E97F4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F1F1F"/>
          <w:sz w:val="22"/>
          <w:szCs w:val="22"/>
        </w:rPr>
        <w:t>Date: August 1, 2025</w:t>
      </w:r>
      <w:r>
        <w:rPr>
          <w:rStyle w:val="eop"/>
          <w:rFonts w:ascii="Arial" w:eastAsiaTheme="majorEastAsia" w:hAnsi="Arial" w:cs="Arial"/>
          <w:color w:val="1F1F1F"/>
          <w:sz w:val="22"/>
          <w:szCs w:val="22"/>
        </w:rPr>
        <w:t> </w:t>
      </w:r>
    </w:p>
    <w:p w14:paraId="15012D86" w14:textId="77777777" w:rsidR="00C6753E" w:rsidRDefault="00C6753E" w:rsidP="00873CA5">
      <w:pPr>
        <w:spacing w:line="240" w:lineRule="auto"/>
        <w:rPr>
          <w:rFonts w:ascii="Calibri" w:hAnsi="Calibri" w:cs="Calibri"/>
        </w:rPr>
      </w:pPr>
    </w:p>
    <w:p w14:paraId="0F14BCF2" w14:textId="768763A1" w:rsidR="00873CA5" w:rsidRDefault="00873CA5" w:rsidP="00CC2FED">
      <w:pPr>
        <w:spacing w:after="0" w:line="240" w:lineRule="auto"/>
        <w:rPr>
          <w:rFonts w:ascii="Calibri" w:hAnsi="Calibri" w:cs="Calibri"/>
        </w:rPr>
      </w:pPr>
      <w:r w:rsidRPr="00542D03">
        <w:rPr>
          <w:b/>
          <w:noProof/>
        </w:rPr>
        <w:drawing>
          <wp:inline distT="0" distB="0" distL="0" distR="0" wp14:anchorId="43061452" wp14:editId="6A42C0AE">
            <wp:extent cx="1752600" cy="30308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05407" cy="329506"/>
                    </a:xfrm>
                    <a:prstGeom prst="rect">
                      <a:avLst/>
                    </a:prstGeom>
                    <a:noFill/>
                    <a:ln w="9525">
                      <a:noFill/>
                      <a:miter lim="800000"/>
                      <a:headEnd/>
                      <a:tailEnd/>
                    </a:ln>
                  </pic:spPr>
                </pic:pic>
              </a:graphicData>
            </a:graphic>
          </wp:inline>
        </w:drawing>
      </w:r>
    </w:p>
    <w:p w14:paraId="19D614DC" w14:textId="07A5E5DA" w:rsidR="00CC2FED" w:rsidRPr="00CC2FED" w:rsidRDefault="00CC2FED" w:rsidP="00CC2FED">
      <w:pPr>
        <w:spacing w:after="0" w:line="240" w:lineRule="auto"/>
        <w:rPr>
          <w:rFonts w:ascii="Calibri" w:hAnsi="Calibri" w:cs="Calibri"/>
        </w:rPr>
      </w:pPr>
      <w:r w:rsidRPr="00CC2FED">
        <w:rPr>
          <w:rFonts w:ascii="Calibri" w:hAnsi="Calibri" w:cs="Calibri"/>
        </w:rPr>
        <w:t xml:space="preserve">By: ___________________________________  </w:t>
      </w:r>
    </w:p>
    <w:p w14:paraId="44EB0AE5" w14:textId="35D8F271" w:rsidR="00CC2FED" w:rsidRPr="00CC2FED" w:rsidRDefault="00CC2FED" w:rsidP="00CC2FED">
      <w:pPr>
        <w:spacing w:after="0" w:line="240" w:lineRule="auto"/>
        <w:rPr>
          <w:rFonts w:ascii="Calibri" w:hAnsi="Calibri" w:cs="Calibri"/>
        </w:rPr>
      </w:pPr>
      <w:r w:rsidRPr="00CC2FED">
        <w:rPr>
          <w:rFonts w:ascii="Calibri" w:hAnsi="Calibri" w:cs="Calibri"/>
        </w:rPr>
        <w:t xml:space="preserve">Name: </w:t>
      </w:r>
      <w:r w:rsidR="007164D2">
        <w:rPr>
          <w:rFonts w:ascii="Calibri" w:hAnsi="Calibri" w:cs="Calibri"/>
        </w:rPr>
        <w:t>Karen Friedlen, PhD</w:t>
      </w:r>
    </w:p>
    <w:p w14:paraId="080DDE45" w14:textId="3F4007FD" w:rsidR="00CC2FED" w:rsidRPr="00CC2FED" w:rsidRDefault="00CC2FED" w:rsidP="00CC2FED">
      <w:pPr>
        <w:spacing w:after="0" w:line="240" w:lineRule="auto"/>
        <w:rPr>
          <w:rFonts w:ascii="Calibri" w:hAnsi="Calibri" w:cs="Calibri"/>
        </w:rPr>
      </w:pPr>
      <w:r w:rsidRPr="00CC2FED">
        <w:rPr>
          <w:rFonts w:ascii="Calibri" w:hAnsi="Calibri" w:cs="Calibri"/>
        </w:rPr>
        <w:t xml:space="preserve">Title:  </w:t>
      </w:r>
      <w:r w:rsidR="007164D2">
        <w:rPr>
          <w:rFonts w:ascii="Calibri" w:hAnsi="Calibri" w:cs="Calibri"/>
        </w:rPr>
        <w:t xml:space="preserve">  Vice President for Academic Affairs</w:t>
      </w:r>
    </w:p>
    <w:p w14:paraId="17149FD6" w14:textId="25B2C4C6" w:rsidR="00313BE9" w:rsidRDefault="00CC2FED" w:rsidP="00CC2FED">
      <w:pPr>
        <w:spacing w:after="0" w:line="240" w:lineRule="auto"/>
        <w:rPr>
          <w:rFonts w:ascii="Calibri" w:hAnsi="Calibri" w:cs="Calibri"/>
        </w:rPr>
      </w:pPr>
      <w:r w:rsidRPr="00CC2FED">
        <w:rPr>
          <w:rFonts w:ascii="Calibri" w:hAnsi="Calibri" w:cs="Calibri"/>
        </w:rPr>
        <w:t>Date:</w:t>
      </w:r>
      <w:r w:rsidR="007164D2">
        <w:rPr>
          <w:rFonts w:ascii="Calibri" w:hAnsi="Calibri" w:cs="Calibri"/>
        </w:rPr>
        <w:t xml:space="preserve">   </w:t>
      </w:r>
      <w:r w:rsidR="00873CA5">
        <w:rPr>
          <w:rFonts w:ascii="Calibri" w:hAnsi="Calibri" w:cs="Calibri"/>
        </w:rPr>
        <w:t>April 15</w:t>
      </w:r>
      <w:r w:rsidR="007164D2">
        <w:rPr>
          <w:rFonts w:ascii="Calibri" w:hAnsi="Calibri" w:cs="Calibri"/>
        </w:rPr>
        <w:t>, 2025</w:t>
      </w:r>
      <w:r w:rsidRPr="00CC2FED">
        <w:rPr>
          <w:rFonts w:ascii="Calibri" w:hAnsi="Calibri" w:cs="Calibri"/>
        </w:rPr>
        <w:t xml:space="preserve">  </w:t>
      </w:r>
    </w:p>
    <w:p w14:paraId="56339AE6" w14:textId="77777777" w:rsidR="00313BE9" w:rsidRDefault="00313BE9">
      <w:pPr>
        <w:rPr>
          <w:rFonts w:ascii="Calibri" w:hAnsi="Calibri" w:cs="Calibri"/>
        </w:rPr>
      </w:pPr>
      <w:r>
        <w:rPr>
          <w:rFonts w:ascii="Calibri" w:hAnsi="Calibri" w:cs="Calibri"/>
        </w:rPr>
        <w:br w:type="page"/>
      </w:r>
    </w:p>
    <w:p w14:paraId="4704FEE0" w14:textId="2989E029" w:rsidR="00CC2FED" w:rsidRDefault="00313BE9" w:rsidP="00313BE9">
      <w:pPr>
        <w:spacing w:after="0" w:line="240" w:lineRule="auto"/>
        <w:jc w:val="center"/>
        <w:rPr>
          <w:rFonts w:ascii="Calibri" w:hAnsi="Calibri" w:cs="Calibri"/>
        </w:rPr>
      </w:pPr>
      <w:r>
        <w:rPr>
          <w:rFonts w:ascii="Calibri" w:hAnsi="Calibri" w:cs="Calibri"/>
        </w:rPr>
        <w:lastRenderedPageBreak/>
        <w:t>APPENDIX A</w:t>
      </w:r>
    </w:p>
    <w:p w14:paraId="4A8C6228" w14:textId="77777777" w:rsidR="00313BE9" w:rsidRDefault="00313BE9" w:rsidP="00313BE9">
      <w:pPr>
        <w:spacing w:after="0" w:line="240" w:lineRule="auto"/>
        <w:jc w:val="center"/>
        <w:rPr>
          <w:rFonts w:ascii="Calibri" w:hAnsi="Calibri" w:cs="Calibri"/>
        </w:rPr>
      </w:pPr>
    </w:p>
    <w:p w14:paraId="210F5127" w14:textId="610956FE" w:rsidR="00313BE9" w:rsidRPr="005D71FE" w:rsidRDefault="00313BE9" w:rsidP="00313BE9">
      <w:pPr>
        <w:jc w:val="center"/>
        <w:rPr>
          <w:rFonts w:ascii="Times New Roman" w:hAnsi="Times New Roman" w:cs="Times New Roman"/>
          <w:b/>
          <w:bCs/>
          <w:sz w:val="28"/>
          <w:szCs w:val="28"/>
          <w:u w:val="single"/>
        </w:rPr>
      </w:pPr>
      <w:r w:rsidRPr="005D71FE">
        <w:rPr>
          <w:rFonts w:ascii="Times New Roman" w:hAnsi="Times New Roman" w:cs="Times New Roman"/>
          <w:b/>
          <w:bCs/>
          <w:sz w:val="28"/>
          <w:szCs w:val="28"/>
          <w:u w:val="single"/>
        </w:rPr>
        <w:t>Notre Dame of Maryland University &amp; Mount Mary University MSW</w:t>
      </w:r>
      <w:r>
        <w:rPr>
          <w:rFonts w:ascii="Times New Roman" w:hAnsi="Times New Roman" w:cs="Times New Roman"/>
          <w:b/>
          <w:bCs/>
          <w:sz w:val="28"/>
          <w:szCs w:val="28"/>
          <w:u w:val="single"/>
        </w:rPr>
        <w:t xml:space="preserve"> Partnership</w:t>
      </w:r>
      <w:r>
        <w:rPr>
          <w:rFonts w:ascii="Times New Roman" w:hAnsi="Times New Roman" w:cs="Times New Roman"/>
          <w:b/>
          <w:bCs/>
          <w:sz w:val="28"/>
          <w:szCs w:val="28"/>
          <w:u w:val="single"/>
        </w:rPr>
        <w:t xml:space="preserve"> </w:t>
      </w:r>
    </w:p>
    <w:p w14:paraId="67CFDBA6" w14:textId="77777777" w:rsidR="00313BE9" w:rsidRPr="005D71FE" w:rsidRDefault="00313BE9" w:rsidP="00313BE9">
      <w:pPr>
        <w:rPr>
          <w:rFonts w:ascii="Times New Roman" w:hAnsi="Times New Roman" w:cs="Times New Roman"/>
          <w:sz w:val="28"/>
          <w:szCs w:val="28"/>
        </w:rPr>
      </w:pPr>
      <w:r w:rsidRPr="005D71FE">
        <w:rPr>
          <w:rFonts w:ascii="Times New Roman" w:hAnsi="Times New Roman" w:cs="Times New Roman"/>
          <w:b/>
          <w:bCs/>
          <w:sz w:val="28"/>
          <w:szCs w:val="28"/>
          <w:u w:val="single"/>
        </w:rPr>
        <w:t>Mount Mary</w:t>
      </w:r>
      <w:r w:rsidRPr="005D71FE">
        <w:rPr>
          <w:rFonts w:ascii="Times New Roman" w:hAnsi="Times New Roman" w:cs="Times New Roman"/>
          <w:sz w:val="28"/>
          <w:szCs w:val="28"/>
          <w:u w:val="single"/>
        </w:rPr>
        <w:t xml:space="preserve"> required social work courses with brief overviews</w:t>
      </w:r>
      <w:r w:rsidRPr="005D71FE">
        <w:rPr>
          <w:rFonts w:ascii="Times New Roman" w:hAnsi="Times New Roman" w:cs="Times New Roman"/>
          <w:sz w:val="28"/>
          <w:szCs w:val="28"/>
        </w:rPr>
        <w:t>:</w:t>
      </w:r>
    </w:p>
    <w:p w14:paraId="2C2A67A4" w14:textId="77777777" w:rsidR="00313BE9" w:rsidRDefault="00313BE9" w:rsidP="00313BE9">
      <w:pPr>
        <w:rPr>
          <w:rFonts w:ascii="Times New Roman" w:hAnsi="Times New Roman" w:cs="Times New Roman"/>
          <w:b/>
          <w:bCs/>
          <w:u w:val="single"/>
        </w:rPr>
      </w:pPr>
    </w:p>
    <w:p w14:paraId="71D6CD7A"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210 Race, Gender, and Class</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This course examines how structures of identity and division shape our social world. Through the lens of intersectionality students explore social systems and practices. </w:t>
      </w:r>
    </w:p>
    <w:p w14:paraId="5895A56C" w14:textId="77777777" w:rsidR="00313BE9" w:rsidRPr="00631102" w:rsidRDefault="00313BE9" w:rsidP="00313BE9">
      <w:pPr>
        <w:rPr>
          <w:rFonts w:ascii="Times New Roman" w:hAnsi="Times New Roman" w:cs="Times New Roman"/>
        </w:rPr>
      </w:pPr>
      <w:r w:rsidRPr="00631102">
        <w:rPr>
          <w:rFonts w:ascii="Times New Roman" w:hAnsi="Times New Roman" w:cs="Times New Roman"/>
        </w:rPr>
        <w:t xml:space="preserve"> </w:t>
      </w:r>
      <w:r w:rsidRPr="00631102">
        <w:rPr>
          <w:rFonts w:ascii="Times New Roman" w:hAnsi="Times New Roman" w:cs="Times New Roman"/>
          <w:b/>
          <w:bCs/>
          <w:u w:val="single"/>
        </w:rPr>
        <w:t>SWK 231 Introduction to Social Work (Global)</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This course introduces students to the study of the social work profession relative to its historical roots, fields of practice, ethical issues, professional organizations, and its relationship to social welfare policy. </w:t>
      </w:r>
    </w:p>
    <w:p w14:paraId="7FF813D8"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232 Social Welfare Policies and Services</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Philosophical and historical perspectives of social welfare are considered. The course provides an overview of the development of policies and services which address a wide variety of human populations and needs. </w:t>
      </w:r>
    </w:p>
    <w:p w14:paraId="6B1E5015"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330 Human Behavior and Social Environment</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This course examines how theories of human behavior and the social environment can be used to inform social work practice. Using theory, students explore ways of understanding and envisioning action with clients and client systems. </w:t>
      </w:r>
    </w:p>
    <w:p w14:paraId="04F33755"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340 Generalist Practice I</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Generalist social work practice theory with a person-in-environment focus is used as a framework for the development of intervention skills. Students acquire skills in interviewing, recording, and developing client-worker relationships. </w:t>
      </w:r>
    </w:p>
    <w:p w14:paraId="019E7B8B"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342 Field Education I</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5 credits</w:t>
      </w:r>
      <w:r>
        <w:rPr>
          <w:rFonts w:ascii="Times New Roman" w:hAnsi="Times New Roman" w:cs="Times New Roman"/>
        </w:rPr>
        <w:t>)</w:t>
      </w:r>
      <w:r w:rsidRPr="00631102">
        <w:rPr>
          <w:rFonts w:ascii="Times New Roman" w:hAnsi="Times New Roman" w:cs="Times New Roman"/>
        </w:rPr>
        <w:t xml:space="preserve"> An average of 10 hours each week (a minimum of 150 total hours) is spent in a community agency serving diverse populations. Field settings include child and family services, correctional agencies, shelters, neighborhood centers, nursing homes, and others. </w:t>
      </w:r>
    </w:p>
    <w:p w14:paraId="37F637CC"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343 Generalist Practice II</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The problem-solving process introduced in Generalist Practice I is studied through its concluding phases. Added is consideration of research methods appropriate for evaluation of ongoing practice. Work with families and groups is emphasized. </w:t>
      </w:r>
    </w:p>
    <w:p w14:paraId="7BC75EB4"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362 Research for Social Work</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3 credits</w:t>
      </w:r>
      <w:r>
        <w:rPr>
          <w:rFonts w:ascii="Times New Roman" w:hAnsi="Times New Roman" w:cs="Times New Roman"/>
        </w:rPr>
        <w:t>)</w:t>
      </w:r>
      <w:r w:rsidRPr="00631102">
        <w:rPr>
          <w:rFonts w:ascii="Times New Roman" w:hAnsi="Times New Roman" w:cs="Times New Roman"/>
        </w:rPr>
        <w:t xml:space="preserve"> This course is focused on the introduction to the research process: hypothesis formulation, literature review, research design, and operationalization; overview of research analysis and interpretation. Quantitative and qualitative </w:t>
      </w:r>
      <w:r w:rsidRPr="00631102">
        <w:rPr>
          <w:rFonts w:ascii="Times New Roman" w:hAnsi="Times New Roman" w:cs="Times New Roman"/>
        </w:rPr>
        <w:lastRenderedPageBreak/>
        <w:t xml:space="preserve">research methodologies for knowledge-building and program and practice evaluation are emphasized. </w:t>
      </w:r>
    </w:p>
    <w:p w14:paraId="2A8923A4"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453 Field Education II</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5 credits</w:t>
      </w:r>
      <w:r>
        <w:rPr>
          <w:rFonts w:ascii="Times New Roman" w:hAnsi="Times New Roman" w:cs="Times New Roman"/>
        </w:rPr>
        <w:t>)</w:t>
      </w:r>
      <w:r w:rsidRPr="00631102">
        <w:rPr>
          <w:rFonts w:ascii="Times New Roman" w:hAnsi="Times New Roman" w:cs="Times New Roman"/>
        </w:rPr>
        <w:t xml:space="preserve"> An average of 10 hours each week (a minimum of 150 total hours) is spent providing social services in a community agency serving diverse populations. A new field setting is found for this academic year to strengthen and broaden the student’s social work practice, knowledge, and skills. </w:t>
      </w:r>
    </w:p>
    <w:p w14:paraId="6A2914FB" w14:textId="77777777" w:rsidR="00313BE9" w:rsidRPr="009D7B43" w:rsidRDefault="00313BE9" w:rsidP="00313BE9">
      <w:pPr>
        <w:rPr>
          <w:rFonts w:ascii="Times New Roman" w:hAnsi="Times New Roman" w:cs="Times New Roman"/>
        </w:rPr>
      </w:pPr>
      <w:r w:rsidRPr="00631102">
        <w:rPr>
          <w:rFonts w:ascii="Times New Roman" w:hAnsi="Times New Roman" w:cs="Times New Roman"/>
          <w:b/>
          <w:bCs/>
          <w:u w:val="single"/>
        </w:rPr>
        <w:t>SWK 455 Social Policy and Generalist Practice</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4 credits</w:t>
      </w:r>
      <w:r>
        <w:rPr>
          <w:rFonts w:ascii="Times New Roman" w:hAnsi="Times New Roman" w:cs="Times New Roman"/>
        </w:rPr>
        <w:t>)</w:t>
      </w:r>
      <w:r w:rsidRPr="00631102">
        <w:rPr>
          <w:rFonts w:ascii="Times New Roman" w:hAnsi="Times New Roman" w:cs="Times New Roman"/>
        </w:rPr>
        <w:t xml:space="preserve"> This course focuses on the interaction of community practice, organization practice and policy practice. The generalist social work model is the underpinning of how students learn to create change in these systems. A social action project and policy analysis assignment tie together theory and practice. </w:t>
      </w:r>
    </w:p>
    <w:p w14:paraId="4516C92F" w14:textId="77777777" w:rsidR="00313BE9" w:rsidRPr="00631102" w:rsidRDefault="00313BE9" w:rsidP="00313BE9">
      <w:pPr>
        <w:shd w:val="clear" w:color="auto" w:fill="FFFFFF"/>
        <w:rPr>
          <w:rFonts w:ascii="Times New Roman" w:hAnsi="Times New Roman" w:cs="Times New Roman"/>
          <w:color w:val="000000"/>
          <w:bdr w:val="none" w:sz="0" w:space="0" w:color="auto" w:frame="1"/>
        </w:rPr>
      </w:pPr>
      <w:r w:rsidRPr="00631102">
        <w:rPr>
          <w:rFonts w:ascii="Times New Roman" w:hAnsi="Times New Roman" w:cs="Times New Roman"/>
          <w:b/>
          <w:bCs/>
          <w:color w:val="000000"/>
          <w:u w:val="single"/>
          <w:bdr w:val="none" w:sz="0" w:space="0" w:color="auto" w:frame="1"/>
        </w:rPr>
        <w:t>SWK 540 Generalist Practice I: Social Work with Individuals, Families, Groups</w:t>
      </w:r>
      <w:r>
        <w:rPr>
          <w:rFonts w:ascii="Times New Roman" w:hAnsi="Times New Roman" w:cs="Times New Roman"/>
          <w:b/>
          <w:bCs/>
          <w:color w:val="000000"/>
          <w:bdr w:val="none" w:sz="0" w:space="0" w:color="auto" w:frame="1"/>
        </w:rPr>
        <w:t xml:space="preserve"> (</w:t>
      </w:r>
      <w:r w:rsidRPr="00631102">
        <w:rPr>
          <w:rFonts w:ascii="Times New Roman" w:hAnsi="Times New Roman" w:cs="Times New Roman"/>
          <w:color w:val="000000"/>
          <w:bdr w:val="none" w:sz="0" w:space="0" w:color="auto" w:frame="1"/>
        </w:rPr>
        <w:t>2 credits</w:t>
      </w:r>
      <w:r>
        <w:rPr>
          <w:rFonts w:ascii="Times New Roman" w:hAnsi="Times New Roman" w:cs="Times New Roman"/>
          <w:color w:val="000000"/>
          <w:bdr w:val="none" w:sz="0" w:space="0" w:color="auto" w:frame="1"/>
        </w:rPr>
        <w:t>)</w:t>
      </w:r>
      <w:r w:rsidRPr="00631102">
        <w:rPr>
          <w:rFonts w:ascii="Times New Roman" w:hAnsi="Times New Roman" w:cs="Times New Roman"/>
          <w:color w:val="000000"/>
          <w:bdr w:val="none" w:sz="0" w:space="0" w:color="auto" w:frame="1"/>
        </w:rPr>
        <w:t xml:space="preserve"> This foundation course emphasizes the integration of generalist social work practice as it relates to social work with individuals, families, and groups. It focuses on knowledge, skills, and values in the application of the planned change process in social work with micro and mezzo systems.</w:t>
      </w:r>
    </w:p>
    <w:p w14:paraId="1630EE69"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492 Field Education III</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5 credits</w:t>
      </w:r>
      <w:r>
        <w:rPr>
          <w:rFonts w:ascii="Times New Roman" w:hAnsi="Times New Roman" w:cs="Times New Roman"/>
        </w:rPr>
        <w:t>)</w:t>
      </w:r>
      <w:r w:rsidRPr="00631102">
        <w:rPr>
          <w:rFonts w:ascii="Times New Roman" w:hAnsi="Times New Roman" w:cs="Times New Roman"/>
        </w:rPr>
        <w:t xml:space="preserve"> A continuation of Field Education II. An average of 10 hours each week (a minimum of 450 cumulative hours across SWK 342, 453, and 492) is spent continuing to provide social services in the same community agency as SWK 453. The weekly seminar assists in the integration of field and classroom learning experiences and continues to explore social justice work. </w:t>
      </w:r>
    </w:p>
    <w:p w14:paraId="6E36FFEB"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SWK 494 Senior Social Work Seminar</w:t>
      </w:r>
      <w:r w:rsidRPr="00631102">
        <w:rPr>
          <w:rFonts w:ascii="Times New Roman" w:hAnsi="Times New Roman" w:cs="Times New Roman"/>
        </w:rPr>
        <w:t xml:space="preserve"> </w:t>
      </w:r>
      <w:r>
        <w:rPr>
          <w:rFonts w:ascii="Times New Roman" w:hAnsi="Times New Roman" w:cs="Times New Roman"/>
        </w:rPr>
        <w:t>(</w:t>
      </w:r>
      <w:r w:rsidRPr="00631102">
        <w:rPr>
          <w:rFonts w:ascii="Times New Roman" w:hAnsi="Times New Roman" w:cs="Times New Roman"/>
        </w:rPr>
        <w:t>2 credits</w:t>
      </w:r>
      <w:r>
        <w:rPr>
          <w:rFonts w:ascii="Times New Roman" w:hAnsi="Times New Roman" w:cs="Times New Roman"/>
        </w:rPr>
        <w:t>)</w:t>
      </w:r>
      <w:r w:rsidRPr="00631102">
        <w:rPr>
          <w:rFonts w:ascii="Times New Roman" w:hAnsi="Times New Roman" w:cs="Times New Roman"/>
        </w:rPr>
        <w:t xml:space="preserve"> Engages student in a final integrative effort at the conclusion of the senior year. Students develop portfolios which reflect their achievement of the Social Work Department competencies and integration of liberal arts and social work education. </w:t>
      </w:r>
    </w:p>
    <w:p w14:paraId="05A1696A" w14:textId="77777777" w:rsidR="00313BE9" w:rsidRDefault="00313BE9" w:rsidP="00313BE9">
      <w:pPr>
        <w:rPr>
          <w:rFonts w:ascii="Times New Roman" w:hAnsi="Times New Roman" w:cs="Times New Roman"/>
          <w:sz w:val="28"/>
          <w:szCs w:val="28"/>
        </w:rPr>
      </w:pPr>
      <w:r w:rsidRPr="005D71FE">
        <w:rPr>
          <w:rFonts w:ascii="Times New Roman" w:hAnsi="Times New Roman" w:cs="Times New Roman"/>
          <w:sz w:val="28"/>
          <w:szCs w:val="28"/>
          <w:u w:val="single"/>
        </w:rPr>
        <w:t>Courses with similar descriptions at</w:t>
      </w:r>
      <w:r w:rsidRPr="005D71FE">
        <w:rPr>
          <w:rFonts w:ascii="Times New Roman" w:hAnsi="Times New Roman" w:cs="Times New Roman"/>
          <w:b/>
          <w:bCs/>
          <w:sz w:val="28"/>
          <w:szCs w:val="28"/>
          <w:u w:val="single"/>
        </w:rPr>
        <w:t xml:space="preserve"> Notre Dame of Maryland</w:t>
      </w:r>
      <w:r w:rsidRPr="005D71FE">
        <w:rPr>
          <w:rFonts w:ascii="Times New Roman" w:hAnsi="Times New Roman" w:cs="Times New Roman"/>
          <w:sz w:val="28"/>
          <w:szCs w:val="28"/>
        </w:rPr>
        <w:t>:</w:t>
      </w:r>
    </w:p>
    <w:p w14:paraId="21B672EB"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PSY-208 Multicultural Psychology:</w:t>
      </w:r>
      <w:r w:rsidRPr="00631102">
        <w:rPr>
          <w:rFonts w:ascii="Times New Roman" w:hAnsi="Times New Roman" w:cs="Times New Roman"/>
        </w:rPr>
        <w:t xml:space="preserve"> Explores the major ethnic groups and the particular psychological issues and needs relevant to specific groups. The impact of culture, race, and ethnicity on theory, research, and practice are examined. Issues related to diversity, tolerance and social behavior are explored. Specific consideration related to sex/gender differences within various cultures and ethnicities will be integral. </w:t>
      </w:r>
    </w:p>
    <w:p w14:paraId="6F635991"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t>SOC-209 Race, Class, and Gender</w:t>
      </w:r>
      <w:r w:rsidRPr="00631102">
        <w:rPr>
          <w:rFonts w:ascii="Times New Roman" w:hAnsi="Times New Roman" w:cs="Times New Roman"/>
        </w:rPr>
        <w:t>: Explores the intersecting systems of inequality, race, ethnicity, social class and gender. Examines the construction of identity categorizations and links them to our current experiences and conceptions of self. Covers the nature of privilege and its reproduction in social institutions such as the workplace, education, and the criminal justice system. Fulfills general education requirements in social science and cross-cultural studies.</w:t>
      </w:r>
    </w:p>
    <w:p w14:paraId="516FF25B" w14:textId="77777777" w:rsidR="00313BE9" w:rsidRPr="00631102" w:rsidRDefault="00313BE9" w:rsidP="00313BE9">
      <w:pPr>
        <w:rPr>
          <w:rFonts w:ascii="Times New Roman" w:hAnsi="Times New Roman" w:cs="Times New Roman"/>
        </w:rPr>
      </w:pPr>
      <w:r w:rsidRPr="00631102">
        <w:rPr>
          <w:rFonts w:ascii="Times New Roman" w:hAnsi="Times New Roman" w:cs="Times New Roman"/>
          <w:b/>
          <w:bCs/>
          <w:u w:val="single"/>
        </w:rPr>
        <w:lastRenderedPageBreak/>
        <w:t>PSY-233 Human Growth and Development (3</w:t>
      </w:r>
      <w:r>
        <w:rPr>
          <w:rFonts w:ascii="Times New Roman" w:hAnsi="Times New Roman" w:cs="Times New Roman"/>
          <w:b/>
          <w:bCs/>
        </w:rPr>
        <w:t>)</w:t>
      </w:r>
      <w:r w:rsidRPr="00631102">
        <w:rPr>
          <w:rFonts w:ascii="Times New Roman" w:hAnsi="Times New Roman" w:cs="Times New Roman"/>
        </w:rPr>
        <w:t>: Explores the principles of developmental psychology from infancy through adulthood and includes general consideration of developmental tasks through the lifespan. Prerequisite: PSY-101. [3 credits]</w:t>
      </w:r>
    </w:p>
    <w:p w14:paraId="4EB16F70" w14:textId="77777777" w:rsidR="00313BE9" w:rsidRDefault="00313BE9" w:rsidP="00313BE9">
      <w:pPr>
        <w:rPr>
          <w:rFonts w:ascii="Times New Roman" w:hAnsi="Times New Roman" w:cs="Times New Roman"/>
        </w:rPr>
      </w:pPr>
      <w:r w:rsidRPr="00631102">
        <w:rPr>
          <w:rFonts w:ascii="Times New Roman" w:hAnsi="Times New Roman" w:cs="Times New Roman"/>
          <w:b/>
          <w:bCs/>
          <w:u w:val="single"/>
        </w:rPr>
        <w:t>PSY-210 Research Methods (4</w:t>
      </w:r>
      <w:r>
        <w:rPr>
          <w:rFonts w:ascii="Times New Roman" w:hAnsi="Times New Roman" w:cs="Times New Roman"/>
          <w:b/>
          <w:bCs/>
        </w:rPr>
        <w:t>)</w:t>
      </w:r>
      <w:r w:rsidRPr="00631102">
        <w:rPr>
          <w:rFonts w:ascii="Times New Roman" w:hAnsi="Times New Roman" w:cs="Times New Roman"/>
        </w:rPr>
        <w:t>: Introduces the basic methods of research design and report writing in the behavioral sciences. Descriptive, correlational and experimental research strategies will be discussed. Students design original research and select appropriate data analyses. Ethical issues in each type of research design will be explored. Lecture and laboratory. Prerequisites: MAT-215 and PSY-101 or CRM-101 or SOC-101. Satisfies the technological competency requirement. [4 credits]</w:t>
      </w:r>
    </w:p>
    <w:p w14:paraId="080D087D" w14:textId="77777777" w:rsidR="00313BE9" w:rsidRPr="00631102" w:rsidRDefault="00313BE9" w:rsidP="00313BE9">
      <w:pPr>
        <w:rPr>
          <w:rFonts w:ascii="Times New Roman" w:hAnsi="Times New Roman" w:cs="Times New Roman"/>
        </w:rPr>
      </w:pPr>
      <w:r>
        <w:rPr>
          <w:rFonts w:ascii="Times New Roman" w:hAnsi="Times New Roman" w:cs="Times New Roman"/>
          <w:b/>
          <w:bCs/>
          <w:u w:val="single"/>
        </w:rPr>
        <w:t>PSY-306 Theories and Techniques of Counseling (4)</w:t>
      </w:r>
      <w:r>
        <w:rPr>
          <w:rFonts w:ascii="Times New Roman" w:hAnsi="Times New Roman" w:cs="Times New Roman"/>
          <w:u w:val="single"/>
        </w:rPr>
        <w:t>:</w:t>
      </w:r>
      <w:r w:rsidRPr="005D71FE">
        <w:rPr>
          <w:rFonts w:ascii="Times New Roman" w:hAnsi="Times New Roman" w:cs="Times New Roman"/>
        </w:rPr>
        <w:t>Introduces counseling perspectives, models, ethics, and counseling skills for students interested in the helping professions. Surveys major theoretical paradigms and emphasizes mastery of basic communication skills useful in interpersonal relations settings. All students participate in lectures, class demonstrations, role playing and peer practice. This is the foundation course for PSY-406 Advanced Therapeutic Techniques. Prerequisites: PSY-210, PSY-205, and PSY-207 and Technical Standards as evaluated by the department. [4 credits]</w:t>
      </w:r>
    </w:p>
    <w:p w14:paraId="770B4CFE" w14:textId="77777777" w:rsidR="00313BE9" w:rsidRDefault="00313BE9" w:rsidP="00313BE9">
      <w:pPr>
        <w:rPr>
          <w:rFonts w:ascii="Times New Roman" w:hAnsi="Times New Roman" w:cs="Times New Roman"/>
        </w:rPr>
      </w:pPr>
      <w:r w:rsidRPr="00631102">
        <w:rPr>
          <w:rFonts w:ascii="Times New Roman" w:hAnsi="Times New Roman" w:cs="Times New Roman"/>
          <w:b/>
          <w:bCs/>
          <w:u w:val="single"/>
        </w:rPr>
        <w:t>CRM-360 Research Methods and Crime Analysis</w:t>
      </w:r>
      <w:r w:rsidRPr="00631102">
        <w:rPr>
          <w:rFonts w:ascii="Times New Roman" w:hAnsi="Times New Roman" w:cs="Times New Roman"/>
        </w:rPr>
        <w:t>: Provides framework for the critical and empirical analysis of social science data relating to crime and social deviance, including experimental and quasi-experimental research design, crime analysis, ethical issues, quantitative and qualitative statistical methods and scientific report writing. Students learn how to use the statistical package for the social sciences and compute descriptive, inferential statistics and multivariate analysis. This course instructs students on the relationship between theory and</w:t>
      </w:r>
      <w:r>
        <w:rPr>
          <w:rFonts w:ascii="Times New Roman" w:hAnsi="Times New Roman" w:cs="Times New Roman"/>
        </w:rPr>
        <w:t xml:space="preserve"> </w:t>
      </w:r>
      <w:r w:rsidRPr="00631102">
        <w:rPr>
          <w:rFonts w:ascii="Times New Roman" w:hAnsi="Times New Roman" w:cs="Times New Roman"/>
        </w:rPr>
        <w:t>scholarly inquiry, the nature of causation, and how to formulate and test hypotheses using a variety of empirical methods.</w:t>
      </w:r>
    </w:p>
    <w:p w14:paraId="0795A536" w14:textId="77777777" w:rsidR="00313BE9" w:rsidRPr="00631102" w:rsidRDefault="00313BE9" w:rsidP="00313BE9">
      <w:pPr>
        <w:rPr>
          <w:rFonts w:ascii="Times New Roman" w:hAnsi="Times New Roman" w:cs="Times New Roman"/>
        </w:rPr>
      </w:pPr>
      <w:r w:rsidRPr="00631102">
        <w:rPr>
          <w:rFonts w:ascii="Times New Roman" w:hAnsi="Times New Roman" w:cs="Times New Roman"/>
        </w:rPr>
        <w:t xml:space="preserve"> </w:t>
      </w:r>
    </w:p>
    <w:tbl>
      <w:tblPr>
        <w:tblStyle w:val="TableGrid"/>
        <w:tblW w:w="11430" w:type="dxa"/>
        <w:tblInd w:w="-545" w:type="dxa"/>
        <w:tblLook w:val="04A0" w:firstRow="1" w:lastRow="0" w:firstColumn="1" w:lastColumn="0" w:noHBand="0" w:noVBand="1"/>
      </w:tblPr>
      <w:tblGrid>
        <w:gridCol w:w="5220"/>
        <w:gridCol w:w="6210"/>
      </w:tblGrid>
      <w:tr w:rsidR="00313BE9" w:rsidRPr="00631102" w14:paraId="130CAB03" w14:textId="77777777" w:rsidTr="006067EA">
        <w:tc>
          <w:tcPr>
            <w:tcW w:w="11430" w:type="dxa"/>
            <w:gridSpan w:val="2"/>
            <w:shd w:val="clear" w:color="auto" w:fill="DAE9F7" w:themeFill="text2" w:themeFillTint="1A"/>
          </w:tcPr>
          <w:p w14:paraId="12EFC2B1" w14:textId="77777777" w:rsidR="00313BE9" w:rsidRPr="00631102" w:rsidRDefault="00313BE9" w:rsidP="006067EA">
            <w:pPr>
              <w:jc w:val="center"/>
              <w:rPr>
                <w:rFonts w:ascii="Times New Roman" w:hAnsi="Times New Roman" w:cs="Times New Roman"/>
                <w:b/>
                <w:bCs/>
                <w:sz w:val="24"/>
                <w:szCs w:val="24"/>
              </w:rPr>
            </w:pPr>
            <w:r w:rsidRPr="00631102">
              <w:rPr>
                <w:rFonts w:ascii="Times New Roman" w:hAnsi="Times New Roman" w:cs="Times New Roman"/>
                <w:b/>
                <w:bCs/>
                <w:sz w:val="24"/>
                <w:szCs w:val="24"/>
                <w:u w:val="single"/>
              </w:rPr>
              <w:t>Notre Dame of Maryland &amp; Mount Mary</w:t>
            </w:r>
            <w:r>
              <w:rPr>
                <w:rFonts w:ascii="Times New Roman" w:hAnsi="Times New Roman" w:cs="Times New Roman"/>
                <w:b/>
                <w:bCs/>
                <w:sz w:val="24"/>
                <w:szCs w:val="24"/>
                <w:u w:val="single"/>
              </w:rPr>
              <w:t xml:space="preserve"> </w:t>
            </w:r>
            <w:r w:rsidRPr="00631102">
              <w:rPr>
                <w:rFonts w:ascii="Times New Roman" w:hAnsi="Times New Roman" w:cs="Times New Roman"/>
                <w:b/>
                <w:bCs/>
                <w:sz w:val="24"/>
                <w:szCs w:val="24"/>
                <w:u w:val="single"/>
              </w:rPr>
              <w:t>MSW: Course Crosswalk</w:t>
            </w:r>
          </w:p>
        </w:tc>
      </w:tr>
      <w:tr w:rsidR="00313BE9" w:rsidRPr="00631102" w14:paraId="21048EC4" w14:textId="77777777" w:rsidTr="006067EA">
        <w:tc>
          <w:tcPr>
            <w:tcW w:w="5220" w:type="dxa"/>
            <w:shd w:val="clear" w:color="auto" w:fill="A5C9EB" w:themeFill="text2" w:themeFillTint="40"/>
          </w:tcPr>
          <w:p w14:paraId="68095A18" w14:textId="77777777" w:rsidR="00313BE9" w:rsidRPr="00631102" w:rsidRDefault="00313BE9" w:rsidP="006067EA">
            <w:pPr>
              <w:jc w:val="center"/>
              <w:rPr>
                <w:rFonts w:ascii="Times New Roman" w:hAnsi="Times New Roman" w:cs="Times New Roman"/>
                <w:b/>
                <w:bCs/>
                <w:sz w:val="24"/>
                <w:szCs w:val="24"/>
              </w:rPr>
            </w:pPr>
            <w:r w:rsidRPr="00631102">
              <w:rPr>
                <w:rFonts w:ascii="Times New Roman" w:hAnsi="Times New Roman" w:cs="Times New Roman"/>
                <w:b/>
                <w:bCs/>
                <w:sz w:val="24"/>
                <w:szCs w:val="24"/>
              </w:rPr>
              <w:t>Mount Mary Course</w:t>
            </w:r>
          </w:p>
        </w:tc>
        <w:tc>
          <w:tcPr>
            <w:tcW w:w="6210" w:type="dxa"/>
            <w:shd w:val="clear" w:color="auto" w:fill="A5C9EB" w:themeFill="text2" w:themeFillTint="40"/>
          </w:tcPr>
          <w:p w14:paraId="49D239E9" w14:textId="77777777" w:rsidR="00313BE9" w:rsidRPr="00631102" w:rsidRDefault="00313BE9" w:rsidP="006067EA">
            <w:pPr>
              <w:jc w:val="center"/>
              <w:rPr>
                <w:rFonts w:ascii="Times New Roman" w:hAnsi="Times New Roman" w:cs="Times New Roman"/>
                <w:b/>
                <w:bCs/>
                <w:sz w:val="24"/>
                <w:szCs w:val="24"/>
              </w:rPr>
            </w:pPr>
            <w:r w:rsidRPr="00631102">
              <w:rPr>
                <w:rFonts w:ascii="Times New Roman" w:hAnsi="Times New Roman" w:cs="Times New Roman"/>
                <w:b/>
                <w:bCs/>
                <w:sz w:val="24"/>
                <w:szCs w:val="24"/>
              </w:rPr>
              <w:t>Notre Dame Course</w:t>
            </w:r>
          </w:p>
        </w:tc>
      </w:tr>
      <w:tr w:rsidR="00313BE9" w:rsidRPr="00631102" w14:paraId="1409749C" w14:textId="77777777" w:rsidTr="006067EA">
        <w:tc>
          <w:tcPr>
            <w:tcW w:w="5220" w:type="dxa"/>
          </w:tcPr>
          <w:p w14:paraId="46E5B6FD"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SWK 210 – Race, Gender and Class</w:t>
            </w:r>
          </w:p>
        </w:tc>
        <w:tc>
          <w:tcPr>
            <w:tcW w:w="6210" w:type="dxa"/>
          </w:tcPr>
          <w:p w14:paraId="75A9F42E"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 xml:space="preserve">PSY 208 </w:t>
            </w:r>
            <w:r>
              <w:rPr>
                <w:rFonts w:ascii="Times New Roman" w:hAnsi="Times New Roman" w:cs="Times New Roman"/>
                <w:sz w:val="24"/>
                <w:szCs w:val="24"/>
              </w:rPr>
              <w:t>– Multicultural Counseling</w:t>
            </w:r>
            <w:r w:rsidRPr="00631102">
              <w:rPr>
                <w:rFonts w:ascii="Times New Roman" w:hAnsi="Times New Roman" w:cs="Times New Roman"/>
                <w:sz w:val="24"/>
                <w:szCs w:val="24"/>
              </w:rPr>
              <w:t>; SOC 209</w:t>
            </w:r>
            <w:r>
              <w:rPr>
                <w:rFonts w:ascii="Times New Roman" w:hAnsi="Times New Roman" w:cs="Times New Roman"/>
                <w:sz w:val="24"/>
                <w:szCs w:val="24"/>
              </w:rPr>
              <w:t xml:space="preserve"> – Race, Class and Gender</w:t>
            </w:r>
          </w:p>
        </w:tc>
      </w:tr>
      <w:tr w:rsidR="00313BE9" w:rsidRPr="00631102" w14:paraId="0068D13A" w14:textId="77777777" w:rsidTr="006067EA">
        <w:tc>
          <w:tcPr>
            <w:tcW w:w="5220" w:type="dxa"/>
          </w:tcPr>
          <w:p w14:paraId="49CB4DBA"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SWK 330 – Human Behavior &amp; Social Environment</w:t>
            </w:r>
          </w:p>
        </w:tc>
        <w:tc>
          <w:tcPr>
            <w:tcW w:w="6210" w:type="dxa"/>
          </w:tcPr>
          <w:p w14:paraId="1771B63C"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PSY 233</w:t>
            </w:r>
            <w:r>
              <w:rPr>
                <w:rFonts w:ascii="Times New Roman" w:hAnsi="Times New Roman" w:cs="Times New Roman"/>
                <w:sz w:val="24"/>
                <w:szCs w:val="24"/>
              </w:rPr>
              <w:t xml:space="preserve"> – Human Growth &amp; Development</w:t>
            </w:r>
          </w:p>
        </w:tc>
      </w:tr>
      <w:tr w:rsidR="00313BE9" w:rsidRPr="00631102" w14:paraId="2E9A2BA0" w14:textId="77777777" w:rsidTr="006067EA">
        <w:tc>
          <w:tcPr>
            <w:tcW w:w="5220" w:type="dxa"/>
          </w:tcPr>
          <w:p w14:paraId="502F3EBD"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SWK 362 – Research for Social Work</w:t>
            </w:r>
          </w:p>
        </w:tc>
        <w:tc>
          <w:tcPr>
            <w:tcW w:w="6210" w:type="dxa"/>
          </w:tcPr>
          <w:p w14:paraId="3F86B9FE" w14:textId="77777777" w:rsidR="00313BE9" w:rsidRPr="00631102" w:rsidRDefault="00313BE9" w:rsidP="006067EA">
            <w:pPr>
              <w:rPr>
                <w:rFonts w:ascii="Times New Roman" w:hAnsi="Times New Roman" w:cs="Times New Roman"/>
                <w:sz w:val="24"/>
                <w:szCs w:val="24"/>
              </w:rPr>
            </w:pPr>
            <w:r>
              <w:rPr>
                <w:rFonts w:ascii="Times New Roman" w:hAnsi="Times New Roman" w:cs="Times New Roman"/>
                <w:sz w:val="24"/>
                <w:szCs w:val="24"/>
              </w:rPr>
              <w:t>PSY 306 – Theories &amp; Techniques of Counseling</w:t>
            </w:r>
          </w:p>
        </w:tc>
      </w:tr>
      <w:tr w:rsidR="00313BE9" w:rsidRPr="00631102" w14:paraId="4F2DD107" w14:textId="77777777" w:rsidTr="006067EA">
        <w:tc>
          <w:tcPr>
            <w:tcW w:w="5220" w:type="dxa"/>
          </w:tcPr>
          <w:p w14:paraId="6B88779B"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SWK 540 – Generalist Practice 1</w:t>
            </w:r>
          </w:p>
        </w:tc>
        <w:tc>
          <w:tcPr>
            <w:tcW w:w="6210" w:type="dxa"/>
          </w:tcPr>
          <w:p w14:paraId="6D617762" w14:textId="77777777" w:rsidR="00313BE9" w:rsidRPr="00631102" w:rsidRDefault="00313BE9" w:rsidP="006067EA">
            <w:pPr>
              <w:rPr>
                <w:rFonts w:ascii="Times New Roman" w:hAnsi="Times New Roman" w:cs="Times New Roman"/>
                <w:sz w:val="24"/>
                <w:szCs w:val="24"/>
              </w:rPr>
            </w:pPr>
            <w:r>
              <w:rPr>
                <w:rFonts w:ascii="Times New Roman" w:hAnsi="Times New Roman" w:cs="Times New Roman"/>
                <w:sz w:val="24"/>
                <w:szCs w:val="24"/>
              </w:rPr>
              <w:t xml:space="preserve">PSY 210 – Research Methods;  </w:t>
            </w:r>
            <w:r w:rsidRPr="00631102">
              <w:rPr>
                <w:rFonts w:ascii="Times New Roman" w:hAnsi="Times New Roman" w:cs="Times New Roman"/>
                <w:sz w:val="24"/>
                <w:szCs w:val="24"/>
              </w:rPr>
              <w:t>CRM</w:t>
            </w:r>
            <w:r>
              <w:rPr>
                <w:rFonts w:ascii="Times New Roman" w:hAnsi="Times New Roman" w:cs="Times New Roman"/>
                <w:sz w:val="24"/>
                <w:szCs w:val="24"/>
              </w:rPr>
              <w:t xml:space="preserve"> </w:t>
            </w:r>
            <w:r w:rsidRPr="00631102">
              <w:rPr>
                <w:rFonts w:ascii="Times New Roman" w:hAnsi="Times New Roman" w:cs="Times New Roman"/>
                <w:sz w:val="24"/>
                <w:szCs w:val="24"/>
              </w:rPr>
              <w:t>360</w:t>
            </w:r>
            <w:r>
              <w:rPr>
                <w:rFonts w:ascii="Times New Roman" w:hAnsi="Times New Roman" w:cs="Times New Roman"/>
                <w:sz w:val="24"/>
                <w:szCs w:val="24"/>
              </w:rPr>
              <w:t xml:space="preserve"> – Research Methods and Crime Analysis</w:t>
            </w:r>
          </w:p>
        </w:tc>
      </w:tr>
      <w:tr w:rsidR="00313BE9" w:rsidRPr="00631102" w14:paraId="710865C3" w14:textId="77777777" w:rsidTr="006067EA">
        <w:tc>
          <w:tcPr>
            <w:tcW w:w="5220" w:type="dxa"/>
          </w:tcPr>
          <w:p w14:paraId="2BB8DF13"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SWK Elective</w:t>
            </w:r>
          </w:p>
        </w:tc>
        <w:tc>
          <w:tcPr>
            <w:tcW w:w="6210" w:type="dxa"/>
          </w:tcPr>
          <w:p w14:paraId="6E529419" w14:textId="77777777" w:rsidR="00313BE9" w:rsidRPr="00631102" w:rsidRDefault="00313BE9" w:rsidP="006067EA">
            <w:pPr>
              <w:rPr>
                <w:rFonts w:ascii="Times New Roman" w:hAnsi="Times New Roman" w:cs="Times New Roman"/>
                <w:sz w:val="24"/>
                <w:szCs w:val="24"/>
              </w:rPr>
            </w:pPr>
            <w:r w:rsidRPr="00631102">
              <w:rPr>
                <w:rFonts w:ascii="Times New Roman" w:hAnsi="Times New Roman" w:cs="Times New Roman"/>
                <w:sz w:val="24"/>
                <w:szCs w:val="24"/>
              </w:rPr>
              <w:t>PSY 406</w:t>
            </w:r>
            <w:r>
              <w:rPr>
                <w:rFonts w:ascii="Times New Roman" w:hAnsi="Times New Roman" w:cs="Times New Roman"/>
                <w:sz w:val="24"/>
                <w:szCs w:val="24"/>
              </w:rPr>
              <w:t xml:space="preserve"> – Advanced Techniques of Counseling &amp; Psychotherapy: Cognitive Behavioral Therapy</w:t>
            </w:r>
          </w:p>
        </w:tc>
      </w:tr>
      <w:tr w:rsidR="00313BE9" w:rsidRPr="00631102" w14:paraId="068B6D38" w14:textId="77777777" w:rsidTr="006067EA">
        <w:tc>
          <w:tcPr>
            <w:tcW w:w="11430" w:type="dxa"/>
            <w:gridSpan w:val="2"/>
          </w:tcPr>
          <w:p w14:paraId="6A34CC38" w14:textId="77777777" w:rsidR="00313BE9" w:rsidRPr="005D71FE" w:rsidRDefault="00313BE9" w:rsidP="006067EA">
            <w:pPr>
              <w:rPr>
                <w:rFonts w:ascii="Times New Roman" w:hAnsi="Times New Roman" w:cs="Times New Roman"/>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Mount Mary will consider additional course substitutions on a case-by-case basis.</w:t>
            </w:r>
          </w:p>
        </w:tc>
      </w:tr>
    </w:tbl>
    <w:p w14:paraId="1AC88B65" w14:textId="0380555B" w:rsidR="00CC2FED" w:rsidRPr="00CC2FED" w:rsidRDefault="00CC2FED" w:rsidP="00CC2FED">
      <w:pPr>
        <w:spacing w:after="0" w:line="240" w:lineRule="auto"/>
        <w:rPr>
          <w:rFonts w:ascii="Calibri" w:hAnsi="Calibri" w:cs="Calibri"/>
        </w:rPr>
      </w:pPr>
    </w:p>
    <w:p w14:paraId="485F2281" w14:textId="7FD2A4F5" w:rsidR="002871DA" w:rsidRPr="00CC2FED" w:rsidRDefault="002871DA" w:rsidP="00CC2FED">
      <w:pPr>
        <w:spacing w:after="0" w:line="240" w:lineRule="auto"/>
        <w:rPr>
          <w:rFonts w:ascii="Calibri" w:hAnsi="Calibri" w:cs="Calibri"/>
        </w:rPr>
      </w:pPr>
    </w:p>
    <w:sectPr w:rsidR="002871DA" w:rsidRPr="00CC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2F7"/>
    <w:multiLevelType w:val="hybridMultilevel"/>
    <w:tmpl w:val="B31E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F50AA"/>
    <w:multiLevelType w:val="hybridMultilevel"/>
    <w:tmpl w:val="94F6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21BAE"/>
    <w:multiLevelType w:val="hybridMultilevel"/>
    <w:tmpl w:val="AA46ED26"/>
    <w:lvl w:ilvl="0" w:tplc="04090001">
      <w:start w:val="1"/>
      <w:numFmt w:val="bullet"/>
      <w:lvlText w:val=""/>
      <w:lvlJc w:val="left"/>
      <w:pPr>
        <w:ind w:left="720" w:hanging="360"/>
      </w:pPr>
      <w:rPr>
        <w:rFonts w:ascii="Symbol" w:hAnsi="Symbol" w:hint="default"/>
      </w:rPr>
    </w:lvl>
    <w:lvl w:ilvl="1" w:tplc="8530FF5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53F6D"/>
    <w:multiLevelType w:val="hybridMultilevel"/>
    <w:tmpl w:val="D7CC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C38A3"/>
    <w:multiLevelType w:val="hybridMultilevel"/>
    <w:tmpl w:val="236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334F5"/>
    <w:multiLevelType w:val="hybridMultilevel"/>
    <w:tmpl w:val="0812F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D35DD"/>
    <w:multiLevelType w:val="hybridMultilevel"/>
    <w:tmpl w:val="A6EA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247AA7"/>
    <w:multiLevelType w:val="multilevel"/>
    <w:tmpl w:val="5C7A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33350"/>
    <w:multiLevelType w:val="hybridMultilevel"/>
    <w:tmpl w:val="9A04F9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203D88"/>
    <w:multiLevelType w:val="hybridMultilevel"/>
    <w:tmpl w:val="A0A8B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954333">
    <w:abstractNumId w:val="4"/>
  </w:num>
  <w:num w:numId="2" w16cid:durableId="1632982443">
    <w:abstractNumId w:val="6"/>
  </w:num>
  <w:num w:numId="3" w16cid:durableId="646394571">
    <w:abstractNumId w:val="0"/>
  </w:num>
  <w:num w:numId="4" w16cid:durableId="1081559174">
    <w:abstractNumId w:val="5"/>
  </w:num>
  <w:num w:numId="5" w16cid:durableId="1334452949">
    <w:abstractNumId w:val="9"/>
  </w:num>
  <w:num w:numId="6" w16cid:durableId="965891155">
    <w:abstractNumId w:val="8"/>
  </w:num>
  <w:num w:numId="7" w16cid:durableId="1734429295">
    <w:abstractNumId w:val="2"/>
  </w:num>
  <w:num w:numId="8" w16cid:durableId="853499334">
    <w:abstractNumId w:val="1"/>
  </w:num>
  <w:num w:numId="9" w16cid:durableId="1979458347">
    <w:abstractNumId w:val="7"/>
  </w:num>
  <w:num w:numId="10" w16cid:durableId="146273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ED"/>
    <w:rsid w:val="00050E41"/>
    <w:rsid w:val="000D7F2E"/>
    <w:rsid w:val="00125DB8"/>
    <w:rsid w:val="001338D2"/>
    <w:rsid w:val="001441E1"/>
    <w:rsid w:val="001B38CB"/>
    <w:rsid w:val="002871DA"/>
    <w:rsid w:val="00313BE9"/>
    <w:rsid w:val="00336269"/>
    <w:rsid w:val="00454EF0"/>
    <w:rsid w:val="00552B93"/>
    <w:rsid w:val="006B13D4"/>
    <w:rsid w:val="007164D2"/>
    <w:rsid w:val="00813E16"/>
    <w:rsid w:val="008333E2"/>
    <w:rsid w:val="00873CA5"/>
    <w:rsid w:val="008C7FDA"/>
    <w:rsid w:val="00965591"/>
    <w:rsid w:val="00A03020"/>
    <w:rsid w:val="00AB5CC3"/>
    <w:rsid w:val="00B166AC"/>
    <w:rsid w:val="00B70112"/>
    <w:rsid w:val="00B96C11"/>
    <w:rsid w:val="00BF00A6"/>
    <w:rsid w:val="00C6753E"/>
    <w:rsid w:val="00CC2FED"/>
    <w:rsid w:val="00CD0733"/>
    <w:rsid w:val="00D01C87"/>
    <w:rsid w:val="00D2076C"/>
    <w:rsid w:val="00E84990"/>
    <w:rsid w:val="00E97F42"/>
    <w:rsid w:val="00F03434"/>
    <w:rsid w:val="00F2074B"/>
    <w:rsid w:val="00F6582F"/>
    <w:rsid w:val="00FF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0E5C"/>
  <w15:chartTrackingRefBased/>
  <w15:docId w15:val="{36B548B1-C74F-374E-9697-273D958A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FED"/>
    <w:rPr>
      <w:rFonts w:eastAsiaTheme="majorEastAsia" w:cstheme="majorBidi"/>
      <w:color w:val="272727" w:themeColor="text1" w:themeTint="D8"/>
    </w:rPr>
  </w:style>
  <w:style w:type="paragraph" w:styleId="Title">
    <w:name w:val="Title"/>
    <w:basedOn w:val="Normal"/>
    <w:next w:val="Normal"/>
    <w:link w:val="TitleChar"/>
    <w:uiPriority w:val="10"/>
    <w:qFormat/>
    <w:rsid w:val="00CC2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FED"/>
    <w:pPr>
      <w:spacing w:before="160"/>
      <w:jc w:val="center"/>
    </w:pPr>
    <w:rPr>
      <w:i/>
      <w:iCs/>
      <w:color w:val="404040" w:themeColor="text1" w:themeTint="BF"/>
    </w:rPr>
  </w:style>
  <w:style w:type="character" w:customStyle="1" w:styleId="QuoteChar">
    <w:name w:val="Quote Char"/>
    <w:basedOn w:val="DefaultParagraphFont"/>
    <w:link w:val="Quote"/>
    <w:uiPriority w:val="29"/>
    <w:rsid w:val="00CC2FED"/>
    <w:rPr>
      <w:i/>
      <w:iCs/>
      <w:color w:val="404040" w:themeColor="text1" w:themeTint="BF"/>
    </w:rPr>
  </w:style>
  <w:style w:type="paragraph" w:styleId="ListParagraph">
    <w:name w:val="List Paragraph"/>
    <w:basedOn w:val="Normal"/>
    <w:uiPriority w:val="34"/>
    <w:qFormat/>
    <w:rsid w:val="00CC2FED"/>
    <w:pPr>
      <w:ind w:left="720"/>
      <w:contextualSpacing/>
    </w:pPr>
  </w:style>
  <w:style w:type="character" w:styleId="IntenseEmphasis">
    <w:name w:val="Intense Emphasis"/>
    <w:basedOn w:val="DefaultParagraphFont"/>
    <w:uiPriority w:val="21"/>
    <w:qFormat/>
    <w:rsid w:val="00CC2FED"/>
    <w:rPr>
      <w:i/>
      <w:iCs/>
      <w:color w:val="0F4761" w:themeColor="accent1" w:themeShade="BF"/>
    </w:rPr>
  </w:style>
  <w:style w:type="paragraph" w:styleId="IntenseQuote">
    <w:name w:val="Intense Quote"/>
    <w:basedOn w:val="Normal"/>
    <w:next w:val="Normal"/>
    <w:link w:val="IntenseQuoteChar"/>
    <w:uiPriority w:val="30"/>
    <w:qFormat/>
    <w:rsid w:val="00CC2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FED"/>
    <w:rPr>
      <w:i/>
      <w:iCs/>
      <w:color w:val="0F4761" w:themeColor="accent1" w:themeShade="BF"/>
    </w:rPr>
  </w:style>
  <w:style w:type="character" w:styleId="IntenseReference">
    <w:name w:val="Intense Reference"/>
    <w:basedOn w:val="DefaultParagraphFont"/>
    <w:uiPriority w:val="32"/>
    <w:qFormat/>
    <w:rsid w:val="00CC2FED"/>
    <w:rPr>
      <w:b/>
      <w:bCs/>
      <w:smallCaps/>
      <w:color w:val="0F4761" w:themeColor="accent1" w:themeShade="BF"/>
      <w:spacing w:val="5"/>
    </w:rPr>
  </w:style>
  <w:style w:type="character" w:styleId="Strong">
    <w:name w:val="Strong"/>
    <w:basedOn w:val="DefaultParagraphFont"/>
    <w:uiPriority w:val="22"/>
    <w:qFormat/>
    <w:rsid w:val="00F2074B"/>
    <w:rPr>
      <w:b/>
      <w:bCs/>
    </w:rPr>
  </w:style>
  <w:style w:type="character" w:customStyle="1" w:styleId="wacimagecontainer">
    <w:name w:val="wacimagecontainer"/>
    <w:basedOn w:val="DefaultParagraphFont"/>
    <w:rsid w:val="00313BE9"/>
  </w:style>
  <w:style w:type="table" w:styleId="TableGrid">
    <w:name w:val="Table Grid"/>
    <w:basedOn w:val="TableNormal"/>
    <w:uiPriority w:val="39"/>
    <w:rsid w:val="00313BE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07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D0733"/>
  </w:style>
  <w:style w:type="character" w:customStyle="1" w:styleId="eop">
    <w:name w:val="eop"/>
    <w:basedOn w:val="DefaultParagraphFont"/>
    <w:rsid w:val="00CD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67920">
      <w:bodyDiv w:val="1"/>
      <w:marLeft w:val="0"/>
      <w:marRight w:val="0"/>
      <w:marTop w:val="0"/>
      <w:marBottom w:val="0"/>
      <w:divBdr>
        <w:top w:val="none" w:sz="0" w:space="0" w:color="auto"/>
        <w:left w:val="none" w:sz="0" w:space="0" w:color="auto"/>
        <w:bottom w:val="none" w:sz="0" w:space="0" w:color="auto"/>
        <w:right w:val="none" w:sz="0" w:space="0" w:color="auto"/>
      </w:divBdr>
      <w:divsChild>
        <w:div w:id="1375881891">
          <w:marLeft w:val="0"/>
          <w:marRight w:val="0"/>
          <w:marTop w:val="0"/>
          <w:marBottom w:val="0"/>
          <w:divBdr>
            <w:top w:val="none" w:sz="0" w:space="0" w:color="auto"/>
            <w:left w:val="none" w:sz="0" w:space="0" w:color="auto"/>
            <w:bottom w:val="none" w:sz="0" w:space="0" w:color="auto"/>
            <w:right w:val="none" w:sz="0" w:space="0" w:color="auto"/>
          </w:divBdr>
        </w:div>
        <w:div w:id="1784300772">
          <w:marLeft w:val="0"/>
          <w:marRight w:val="0"/>
          <w:marTop w:val="0"/>
          <w:marBottom w:val="0"/>
          <w:divBdr>
            <w:top w:val="none" w:sz="0" w:space="0" w:color="auto"/>
            <w:left w:val="none" w:sz="0" w:space="0" w:color="auto"/>
            <w:bottom w:val="none" w:sz="0" w:space="0" w:color="auto"/>
            <w:right w:val="none" w:sz="0" w:space="0" w:color="auto"/>
          </w:divBdr>
        </w:div>
        <w:div w:id="2092923601">
          <w:marLeft w:val="0"/>
          <w:marRight w:val="0"/>
          <w:marTop w:val="0"/>
          <w:marBottom w:val="0"/>
          <w:divBdr>
            <w:top w:val="none" w:sz="0" w:space="0" w:color="auto"/>
            <w:left w:val="none" w:sz="0" w:space="0" w:color="auto"/>
            <w:bottom w:val="none" w:sz="0" w:space="0" w:color="auto"/>
            <w:right w:val="none" w:sz="0" w:space="0" w:color="auto"/>
          </w:divBdr>
        </w:div>
        <w:div w:id="1378776327">
          <w:marLeft w:val="0"/>
          <w:marRight w:val="0"/>
          <w:marTop w:val="0"/>
          <w:marBottom w:val="0"/>
          <w:divBdr>
            <w:top w:val="none" w:sz="0" w:space="0" w:color="auto"/>
            <w:left w:val="none" w:sz="0" w:space="0" w:color="auto"/>
            <w:bottom w:val="none" w:sz="0" w:space="0" w:color="auto"/>
            <w:right w:val="none" w:sz="0" w:space="0" w:color="auto"/>
          </w:divBdr>
        </w:div>
        <w:div w:id="953635280">
          <w:marLeft w:val="0"/>
          <w:marRight w:val="0"/>
          <w:marTop w:val="0"/>
          <w:marBottom w:val="0"/>
          <w:divBdr>
            <w:top w:val="none" w:sz="0" w:space="0" w:color="auto"/>
            <w:left w:val="none" w:sz="0" w:space="0" w:color="auto"/>
            <w:bottom w:val="none" w:sz="0" w:space="0" w:color="auto"/>
            <w:right w:val="none" w:sz="0" w:space="0" w:color="auto"/>
          </w:divBdr>
        </w:div>
        <w:div w:id="1080978819">
          <w:marLeft w:val="0"/>
          <w:marRight w:val="0"/>
          <w:marTop w:val="0"/>
          <w:marBottom w:val="0"/>
          <w:divBdr>
            <w:top w:val="none" w:sz="0" w:space="0" w:color="auto"/>
            <w:left w:val="none" w:sz="0" w:space="0" w:color="auto"/>
            <w:bottom w:val="none" w:sz="0" w:space="0" w:color="auto"/>
            <w:right w:val="none" w:sz="0" w:space="0" w:color="auto"/>
          </w:divBdr>
        </w:div>
        <w:div w:id="1587957844">
          <w:marLeft w:val="0"/>
          <w:marRight w:val="0"/>
          <w:marTop w:val="0"/>
          <w:marBottom w:val="0"/>
          <w:divBdr>
            <w:top w:val="none" w:sz="0" w:space="0" w:color="auto"/>
            <w:left w:val="none" w:sz="0" w:space="0" w:color="auto"/>
            <w:bottom w:val="none" w:sz="0" w:space="0" w:color="auto"/>
            <w:right w:val="none" w:sz="0" w:space="0" w:color="auto"/>
          </w:divBdr>
        </w:div>
        <w:div w:id="925840328">
          <w:marLeft w:val="0"/>
          <w:marRight w:val="0"/>
          <w:marTop w:val="0"/>
          <w:marBottom w:val="0"/>
          <w:divBdr>
            <w:top w:val="none" w:sz="0" w:space="0" w:color="auto"/>
            <w:left w:val="none" w:sz="0" w:space="0" w:color="auto"/>
            <w:bottom w:val="none" w:sz="0" w:space="0" w:color="auto"/>
            <w:right w:val="none" w:sz="0" w:space="0" w:color="auto"/>
          </w:divBdr>
        </w:div>
      </w:divsChild>
    </w:div>
    <w:div w:id="634989344">
      <w:bodyDiv w:val="1"/>
      <w:marLeft w:val="0"/>
      <w:marRight w:val="0"/>
      <w:marTop w:val="0"/>
      <w:marBottom w:val="0"/>
      <w:divBdr>
        <w:top w:val="none" w:sz="0" w:space="0" w:color="auto"/>
        <w:left w:val="none" w:sz="0" w:space="0" w:color="auto"/>
        <w:bottom w:val="none" w:sz="0" w:space="0" w:color="auto"/>
        <w:right w:val="none" w:sz="0" w:space="0" w:color="auto"/>
      </w:divBdr>
      <w:divsChild>
        <w:div w:id="1953631281">
          <w:marLeft w:val="0"/>
          <w:marRight w:val="0"/>
          <w:marTop w:val="0"/>
          <w:marBottom w:val="0"/>
          <w:divBdr>
            <w:top w:val="none" w:sz="0" w:space="0" w:color="auto"/>
            <w:left w:val="none" w:sz="0" w:space="0" w:color="auto"/>
            <w:bottom w:val="none" w:sz="0" w:space="0" w:color="auto"/>
            <w:right w:val="none" w:sz="0" w:space="0" w:color="auto"/>
          </w:divBdr>
        </w:div>
        <w:div w:id="1121847506">
          <w:marLeft w:val="0"/>
          <w:marRight w:val="0"/>
          <w:marTop w:val="0"/>
          <w:marBottom w:val="0"/>
          <w:divBdr>
            <w:top w:val="none" w:sz="0" w:space="0" w:color="auto"/>
            <w:left w:val="none" w:sz="0" w:space="0" w:color="auto"/>
            <w:bottom w:val="none" w:sz="0" w:space="0" w:color="auto"/>
            <w:right w:val="none" w:sz="0" w:space="0" w:color="auto"/>
          </w:divBdr>
        </w:div>
        <w:div w:id="1970435925">
          <w:marLeft w:val="0"/>
          <w:marRight w:val="0"/>
          <w:marTop w:val="0"/>
          <w:marBottom w:val="0"/>
          <w:divBdr>
            <w:top w:val="none" w:sz="0" w:space="0" w:color="auto"/>
            <w:left w:val="none" w:sz="0" w:space="0" w:color="auto"/>
            <w:bottom w:val="none" w:sz="0" w:space="0" w:color="auto"/>
            <w:right w:val="none" w:sz="0" w:space="0" w:color="auto"/>
          </w:divBdr>
        </w:div>
        <w:div w:id="797913345">
          <w:marLeft w:val="0"/>
          <w:marRight w:val="0"/>
          <w:marTop w:val="0"/>
          <w:marBottom w:val="0"/>
          <w:divBdr>
            <w:top w:val="none" w:sz="0" w:space="0" w:color="auto"/>
            <w:left w:val="none" w:sz="0" w:space="0" w:color="auto"/>
            <w:bottom w:val="none" w:sz="0" w:space="0" w:color="auto"/>
            <w:right w:val="none" w:sz="0" w:space="0" w:color="auto"/>
          </w:divBdr>
        </w:div>
        <w:div w:id="466120587">
          <w:marLeft w:val="0"/>
          <w:marRight w:val="0"/>
          <w:marTop w:val="0"/>
          <w:marBottom w:val="0"/>
          <w:divBdr>
            <w:top w:val="none" w:sz="0" w:space="0" w:color="auto"/>
            <w:left w:val="none" w:sz="0" w:space="0" w:color="auto"/>
            <w:bottom w:val="none" w:sz="0" w:space="0" w:color="auto"/>
            <w:right w:val="none" w:sz="0" w:space="0" w:color="auto"/>
          </w:divBdr>
        </w:div>
        <w:div w:id="1312293909">
          <w:marLeft w:val="0"/>
          <w:marRight w:val="0"/>
          <w:marTop w:val="0"/>
          <w:marBottom w:val="0"/>
          <w:divBdr>
            <w:top w:val="none" w:sz="0" w:space="0" w:color="auto"/>
            <w:left w:val="none" w:sz="0" w:space="0" w:color="auto"/>
            <w:bottom w:val="none" w:sz="0" w:space="0" w:color="auto"/>
            <w:right w:val="none" w:sz="0" w:space="0" w:color="auto"/>
          </w:divBdr>
        </w:div>
      </w:divsChild>
    </w:div>
    <w:div w:id="1577588448">
      <w:bodyDiv w:val="1"/>
      <w:marLeft w:val="0"/>
      <w:marRight w:val="0"/>
      <w:marTop w:val="0"/>
      <w:marBottom w:val="0"/>
      <w:divBdr>
        <w:top w:val="none" w:sz="0" w:space="0" w:color="auto"/>
        <w:left w:val="none" w:sz="0" w:space="0" w:color="auto"/>
        <w:bottom w:val="none" w:sz="0" w:space="0" w:color="auto"/>
        <w:right w:val="none" w:sz="0" w:space="0" w:color="auto"/>
      </w:divBdr>
    </w:div>
    <w:div w:id="20995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Doherty</dc:creator>
  <cp:keywords/>
  <dc:description/>
  <cp:lastModifiedBy>Walker, Martha</cp:lastModifiedBy>
  <cp:revision>9</cp:revision>
  <cp:lastPrinted>2025-05-14T20:19:00Z</cp:lastPrinted>
  <dcterms:created xsi:type="dcterms:W3CDTF">2025-07-29T03:16:00Z</dcterms:created>
  <dcterms:modified xsi:type="dcterms:W3CDTF">2025-07-29T03:22:00Z</dcterms:modified>
</cp:coreProperties>
</file>